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charts/chart2.xml" ContentType="application/vnd.openxmlformats-officedocument.drawingml.chart+xml"/>
  <Override PartName="/word/charts/colors2.xml" ContentType="application/vnd.ms-office.chartcolorstyle+xml"/>
  <Override PartName="/word/charts/style2.xml" ContentType="application/vnd.ms-office.chartstyle+xml"/>
  <Override PartName="/word/charts/chart3.xml" ContentType="application/vnd.openxmlformats-officedocument.drawingml.chart+xml"/>
  <Override PartName="/word/charts/colors3.xml" ContentType="application/vnd.ms-office.chartcolorstyle+xml"/>
  <Override PartName="/word/charts/style3.xml" ContentType="application/vnd.ms-office.chartstyle+xml"/>
  <Override PartName="/word/charts/chart4.xml" ContentType="application/vnd.openxmlformats-officedocument.drawingml.chart+xml"/>
  <Override PartName="/word/charts/colors4.xml" ContentType="application/vnd.ms-office.chartcolorstyle+xml"/>
  <Override PartName="/word/charts/style4.xml" ContentType="application/vnd.ms-office.chartstyle+xml"/>
  <Override PartName="/word/charts/chart5.xml" ContentType="application/vnd.openxmlformats-officedocument.drawingml.chart+xml"/>
  <Override PartName="/word/charts/colors5.xml" ContentType="application/vnd.ms-office.chartcolorstyle+xml"/>
  <Override PartName="/word/charts/style5.xml" ContentType="application/vnd.ms-office.chartstyle+xml"/>
  <Override PartName="/word/charts/chart6.xml" ContentType="application/vnd.openxmlformats-officedocument.drawingml.chart+xml"/>
  <Override PartName="/word/charts/colors6.xml" ContentType="application/vnd.ms-office.chartcolorstyle+xml"/>
  <Override PartName="/word/charts/style6.xml" ContentType="application/vnd.ms-office.chartstyle+xml"/>
  <Override PartName="/word/charts/chart7.xml" ContentType="application/vnd.openxmlformats-officedocument.drawingml.chart+xml"/>
  <Override PartName="/word/charts/colors7.xml" ContentType="application/vnd.ms-office.chartcolorstyle+xml"/>
  <Override PartName="/word/charts/style7.xml" ContentType="application/vnd.ms-office.chartstyle+xml"/>
  <Override PartName="/word/charts/chart8.xml" ContentType="application/vnd.openxmlformats-officedocument.drawingml.chart+xml"/>
  <Override PartName="/word/charts/colors8.xml" ContentType="application/vnd.ms-office.chartcolorstyle+xml"/>
  <Override PartName="/word/charts/style8.xml" ContentType="application/vnd.ms-office.chartstyle+xml"/>
  <Override PartName="/word/charts/chart9.xml" ContentType="application/vnd.openxmlformats-officedocument.drawingml.chart+xml"/>
  <Override PartName="/word/charts/colors9.xml" ContentType="application/vnd.ms-office.chartcolorstyle+xml"/>
  <Override PartName="/word/charts/style9.xml" ContentType="application/vnd.ms-office.chartstyle+xml"/>
  <Override PartName="/word/charts/chart10.xml" ContentType="application/vnd.openxmlformats-officedocument.drawingml.chart+xml"/>
  <Override PartName="/word/charts/colors10.xml" ContentType="application/vnd.ms-office.chartcolorstyle+xml"/>
  <Override PartName="/word/charts/style10.xml" ContentType="application/vnd.ms-office.chartstyle+xml"/>
  <Override PartName="/word/charts/chart11.xml" ContentType="application/vnd.openxmlformats-officedocument.drawingml.chart+xml"/>
  <Override PartName="/word/charts/colors11.xml" ContentType="application/vnd.ms-office.chartcolorstyle+xml"/>
  <Override PartName="/word/charts/style11.xml" ContentType="application/vnd.ms-office.chartstyle+xml"/>
  <Override PartName="/word/charts/chart12.xml" ContentType="application/vnd.openxmlformats-officedocument.drawingml.chart+xml"/>
  <Override PartName="/word/charts/colors12.xml" ContentType="application/vnd.ms-office.chartcolorstyle+xml"/>
  <Override PartName="/word/charts/style12.xml" ContentType="application/vnd.ms-office.chartstyle+xml"/>
  <Override PartName="/word/charts/chart13.xml" ContentType="application/vnd.openxmlformats-officedocument.drawingml.chart+xml"/>
  <Override PartName="/word/charts/colors13.xml" ContentType="application/vnd.ms-office.chartcolorstyle+xml"/>
  <Override PartName="/word/charts/style13.xml" ContentType="application/vnd.ms-office.chartstyle+xml"/>
  <Override PartName="/word/charts/chart14.xml" ContentType="application/vnd.openxmlformats-officedocument.drawingml.chart+xml"/>
  <Override PartName="/word/charts/colors14.xml" ContentType="application/vnd.ms-office.chartcolorstyle+xml"/>
  <Override PartName="/word/charts/style14.xml" ContentType="application/vnd.ms-office.chartstyle+xml"/>
  <Override PartName="/word/charts/chart15.xml" ContentType="application/vnd.openxmlformats-officedocument.drawingml.chart+xml"/>
  <Override PartName="/word/charts/colors15.xml" ContentType="application/vnd.ms-office.chartcolorstyle+xml"/>
  <Override PartName="/word/charts/style15.xml" ContentType="application/vnd.ms-office.chartstyle+xml"/>
  <Override PartName="/word/charts/chart16.xml" ContentType="application/vnd.openxmlformats-officedocument.drawingml.chart+xml"/>
  <Override PartName="/word/charts/colors16.xml" ContentType="application/vnd.ms-office.chartcolorstyle+xml"/>
  <Override PartName="/word/charts/style16.xml" ContentType="application/vnd.ms-office.chartstyle+xml"/>
  <Override PartName="/word/charts/chart17.xml" ContentType="application/vnd.openxmlformats-officedocument.drawingml.chart+xml"/>
  <Override PartName="/word/charts/colors17.xml" ContentType="application/vnd.ms-office.chartcolorstyle+xml"/>
  <Override PartName="/word/charts/style17.xml" ContentType="application/vnd.ms-office.chartstyle+xml"/>
  <Override PartName="/word/charts/chart18.xml" ContentType="application/vnd.openxmlformats-officedocument.drawingml.chart+xml"/>
  <Override PartName="/word/charts/colors18.xml" ContentType="application/vnd.ms-office.chartcolorstyle+xml"/>
  <Override PartName="/word/charts/style18.xml" ContentType="application/vnd.ms-office.chartstyle+xml"/>
  <Override PartName="/word/charts/chart19.xml" ContentType="application/vnd.openxmlformats-officedocument.drawingml.chart+xml"/>
  <Override PartName="/word/charts/colors19.xml" ContentType="application/vnd.ms-office.chartcolorstyle+xml"/>
  <Override PartName="/word/charts/style19.xml" ContentType="application/vnd.ms-office.chartstyle+xml"/>
  <Override PartName="/word/charts/chart20.xml" ContentType="application/vnd.openxmlformats-officedocument.drawingml.chart+xml"/>
  <Override PartName="/word/charts/colors20.xml" ContentType="application/vnd.ms-office.chartcolorstyle+xml"/>
  <Override PartName="/word/charts/style20.xml" ContentType="application/vnd.ms-office.chartstyle+xml"/>
  <Override PartName="/word/charts/chart21.xml" ContentType="application/vnd.openxmlformats-officedocument.drawingml.chart+xml"/>
  <Override PartName="/word/charts/colors21.xml" ContentType="application/vnd.ms-office.chartcolorstyle+xml"/>
  <Override PartName="/word/charts/style21.xml" ContentType="application/vnd.ms-office.chartstyle+xml"/>
  <Override PartName="/word/charts/chart22.xml" ContentType="application/vnd.openxmlformats-officedocument.drawingml.chart+xml"/>
  <Override PartName="/word/charts/colors22.xml" ContentType="application/vnd.ms-office.chartcolorstyle+xml"/>
  <Override PartName="/word/charts/style22.xml" ContentType="application/vnd.ms-office.chartstyle+xml"/>
  <Override PartName="/word/charts/chart23.xml" ContentType="application/vnd.openxmlformats-officedocument.drawingml.chart+xml"/>
  <Override PartName="/word/charts/colors23.xml" ContentType="application/vnd.ms-office.chartcolorstyle+xml"/>
  <Override PartName="/word/charts/style23.xml" ContentType="application/vnd.ms-office.chartstyle+xml"/>
  <Override PartName="/word/charts/chart24.xml" ContentType="application/vnd.openxmlformats-officedocument.drawingml.chart+xml"/>
  <Override PartName="/word/charts/colors24.xml" ContentType="application/vnd.ms-office.chartcolorstyle+xml"/>
  <Override PartName="/word/charts/style24.xml" ContentType="application/vnd.ms-office.chartstyl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26"/>
        <w:rPr>
          <w:rFonts w:hint="default"/>
        </w:rPr>
      </w:pPr>
      <w:r>
        <w:rPr>
          <w:rFonts w:hint="eastAsia"/>
        </w:rPr>
        <mc:AlternateContent>
          <mc:Choice Requires="wps">
            <w:drawing>
              <wp:anchor distT="0" distB="0" distL="71755" distR="71755" simplePos="0" relativeHeight="482" behindDoc="0" locked="0" layoutInCell="1" hidden="0" allowOverlap="1">
                <wp:simplePos x="0" y="0"/>
                <wp:positionH relativeFrom="column">
                  <wp:posOffset>5467350</wp:posOffset>
                </wp:positionH>
                <wp:positionV relativeFrom="paragraph">
                  <wp:posOffset>-441325</wp:posOffset>
                </wp:positionV>
                <wp:extent cx="733425" cy="485775"/>
                <wp:effectExtent l="0" t="0" r="635" b="635"/>
                <wp:wrapNone/>
                <wp:docPr id="1026" name="オブジェクト 0"/>
                <a:graphic xmlns:a="http://schemas.openxmlformats.org/drawingml/2006/main">
                  <a:graphicData uri="http://schemas.microsoft.com/office/word/2010/wordprocessingShape">
                    <wps:wsp>
                      <wps:cNvPr id="1026" name="オブジェクト 0"/>
                      <wps:cNvSpPr txBox="1"/>
                      <wps:spPr>
                        <a:xfrm>
                          <a:off x="0" y="0"/>
                          <a:ext cx="733425" cy="485775"/>
                        </a:xfrm>
                        <a:prstGeom prst="rect">
                          <a:avLst/>
                        </a:prstGeom>
                        <a:solidFill>
                          <a:srgbClr val="FFFFFF"/>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rPr>
                                <w:rFonts w:hint="eastAsia"/>
                              </w:rPr>
                            </w:pPr>
                            <w:r>
                              <w:rPr>
                                <w:rFonts w:hint="eastAsia"/>
                                <w:sz w:val="24"/>
                              </w:rPr>
                              <w:t>資料４</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wrap-distance-right:5.65pt;mso-wrap-distance-bottom:0pt;margin-top:-34.75pt;mso-position-vertical-relative:text;mso-position-horizontal-relative:text;position:absolute;height:38.25pt;mso-wrap-distance-top:0pt;width:57.75pt;mso-wrap-distance-left:5.65pt;margin-left:430.5pt;z-index:482;" o:spid="_x0000_s1026" o:allowincell="t" o:allowoverlap="t" filled="t" fillcolor="#ffffff" stroked="f" strokeweight="0.5pt" o:spt="202" type="#_x0000_t202">
                <v:fill/>
                <v:stroke linestyle="single"/>
                <v:textbox style="layout-flow:horizontal;" inset="2.0637499999999998mm,0.24694444444444438mm,2.0637499999999998mm,0.24694444444444438mm">
                  <w:txbxContent>
                    <w:p>
                      <w:pPr>
                        <w:pStyle w:val="0"/>
                        <w:rPr>
                          <w:rFonts w:hint="eastAsia"/>
                        </w:rPr>
                      </w:pPr>
                      <w:r>
                        <w:rPr>
                          <w:rFonts w:hint="eastAsia"/>
                          <w:sz w:val="24"/>
                        </w:rPr>
                        <w:t>資料４</w:t>
                      </w:r>
                    </w:p>
                  </w:txbxContent>
                </v:textbox>
                <v:imagedata o:title=""/>
                <w10:wrap type="none" anchorx="text" anchory="text"/>
              </v:shape>
            </w:pict>
          </mc:Fallback>
        </mc:AlternateContent>
      </w:r>
      <w:r>
        <w:rPr>
          <w:rFonts w:hint="eastAsia"/>
          <w:b w:val="1"/>
          <w:sz w:val="21"/>
        </w:rPr>
        <w:t>令和</w:t>
      </w:r>
      <w:r>
        <w:rPr>
          <w:rFonts w:hint="default"/>
          <w:b w:val="1"/>
          <w:sz w:val="21"/>
        </w:rPr>
        <w:t>7</w:t>
      </w:r>
      <w:r>
        <w:rPr>
          <w:rFonts w:hint="default"/>
          <w:b w:val="1"/>
          <w:sz w:val="21"/>
        </w:rPr>
        <w:t>年度</w:t>
      </w:r>
      <w:r>
        <w:rPr>
          <w:rFonts w:hint="default"/>
          <w:b w:val="1"/>
          <w:sz w:val="21"/>
        </w:rPr>
        <w:t xml:space="preserve"> </w:t>
      </w:r>
      <w:r>
        <w:rPr>
          <w:rFonts w:hint="default"/>
          <w:b w:val="1"/>
          <w:sz w:val="21"/>
        </w:rPr>
        <w:t>コミュニティ・スクール進捗状況評価</w:t>
      </w:r>
      <w:r>
        <w:rPr>
          <w:rFonts w:hint="eastAsia"/>
          <w:b w:val="1"/>
          <w:sz w:val="21"/>
        </w:rPr>
        <w:t>　集計結果</w:t>
      </w:r>
    </w:p>
    <w:p>
      <w:pPr>
        <w:pStyle w:val="0"/>
        <w:rPr>
          <w:rFonts w:hint="default"/>
        </w:rPr>
      </w:pPr>
      <w:r>
        <w:rPr>
          <w:rFonts w:hint="default"/>
        </w:rPr>
        <w:t xml:space="preserve">I </w:t>
      </w:r>
      <w:r>
        <w:rPr>
          <w:rFonts w:hint="default"/>
        </w:rPr>
        <w:t>地域と共に育てる教育文化醸成の進捗状況</w:t>
      </w:r>
    </w:p>
    <w:p>
      <w:pPr>
        <w:pStyle w:val="0"/>
        <w:rPr>
          <w:rFonts w:hint="eastAsia"/>
        </w:rPr>
      </w:pPr>
      <w:r>
        <w:rPr>
          <w:rFonts w:hint="default"/>
        </w:rPr>
        <w:t xml:space="preserve">1 </w:t>
      </w:r>
      <w:r>
        <w:rPr>
          <w:rFonts w:hint="default"/>
        </w:rPr>
        <w:t>コミュニティ・スクールの組織と運営</w:t>
      </w:r>
      <w:bookmarkStart w:id="0" w:name="_GoBack"/>
      <w:bookmarkEnd w:id="0"/>
    </w:p>
    <w:p>
      <w:pPr>
        <w:pStyle w:val="0"/>
        <w:rPr>
          <w:rFonts w:hint="default"/>
        </w:rPr>
      </w:pPr>
      <w:r>
        <w:rPr>
          <w:rFonts w:hint="eastAsia"/>
        </w:rPr>
        <w:t>①</w:t>
      </w:r>
      <w:r>
        <w:rPr>
          <w:rFonts w:hint="default"/>
        </w:rPr>
        <w:t xml:space="preserve"> </w:t>
      </w:r>
      <w:r>
        <w:rPr>
          <w:rFonts w:hint="default"/>
        </w:rPr>
        <w:t>学校運営協議会での協議は充実していますか。</w:t>
      </w:r>
    </w:p>
    <w:tbl>
      <w:tblPr>
        <w:tblStyle w:val="38"/>
        <w:tblpPr w:leftFromText="142" w:rightFromText="142" w:topFromText="0" w:bottomFromText="0" w:vertAnchor="text" w:horzAnchor="page" w:tblpX="6913" w:tblpY="625"/>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1</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6</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0</w:t>
            </w:r>
          </w:p>
        </w:tc>
      </w:tr>
    </w:tbl>
    <w:p>
      <w:pPr>
        <w:pStyle w:val="0"/>
        <w:rPr>
          <w:rFonts w:hint="default"/>
        </w:rPr>
      </w:pPr>
      <w:r>
        <w:rPr>
          <w:rFonts w:hint="default"/>
        </w:rPr>
        <w:drawing>
          <wp:inline distT="0" distB="0" distL="0" distR="0">
            <wp:extent cx="3599815" cy="2267585"/>
            <wp:effectExtent l="0" t="0" r="0" b="0"/>
            <wp:docPr id="1027" name="オブジェクト 0"/>
            <a:graphic xmlns:a="http://schemas.openxmlformats.org/drawingml/2006/main">
              <a:graphicData uri="http://schemas.openxmlformats.org/drawingml/2006/chart">
                <c:chart xmlns:c="http://schemas.openxmlformats.org/drawingml/2006/chart" r:id="rId7"/>
              </a:graphicData>
            </a:graphic>
          </wp:inline>
        </w:drawing>
      </w:r>
    </w:p>
    <w:p>
      <w:pPr>
        <w:pStyle w:val="0"/>
        <w:rPr>
          <w:rFonts w:hint="eastAsia"/>
        </w:rPr>
      </w:pPr>
      <w:r>
        <w:rPr>
          <w:rFonts w:hint="default"/>
        </w:rPr>
        <w:t xml:space="preserve">2 </w:t>
      </w:r>
      <w:r>
        <w:rPr>
          <w:rFonts w:hint="default"/>
        </w:rPr>
        <w:t>学校の目標・課題の共有</w:t>
      </w:r>
    </w:p>
    <w:p>
      <w:pPr>
        <w:pStyle w:val="30"/>
        <w:numPr>
          <w:ilvl w:val="0"/>
          <w:numId w:val="1"/>
        </w:numPr>
        <w:rPr>
          <w:rFonts w:hint="eastAsia"/>
        </w:rPr>
      </w:pPr>
      <w:r>
        <w:rPr>
          <w:rFonts w:hint="default"/>
        </w:rPr>
        <w:t>子どもたちは、学校ビジョンにある「めざす子どもの姿」を知っていますか。</w:t>
      </w:r>
    </w:p>
    <w:tbl>
      <w:tblPr>
        <w:tblStyle w:val="38"/>
        <w:tblpPr w:leftFromText="142" w:rightFromText="142" w:topFromText="0" w:bottomFromText="0" w:vertAnchor="text" w:horzAnchor="margin" w:tblpXSpec="right" w:tblpY="255"/>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2</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2</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1</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2</w:t>
            </w:r>
          </w:p>
        </w:tc>
      </w:tr>
    </w:tbl>
    <w:p>
      <w:pPr>
        <w:pStyle w:val="0"/>
        <w:rPr>
          <w:rFonts w:hint="eastAsia"/>
        </w:rPr>
      </w:pPr>
      <w:r>
        <w:rPr>
          <w:rFonts w:hint="default"/>
        </w:rPr>
        <w:drawing>
          <wp:inline distT="0" distB="0" distL="0" distR="0">
            <wp:extent cx="3635375" cy="2267585"/>
            <wp:effectExtent l="0" t="0" r="0" b="0"/>
            <wp:docPr id="1028" name="オブジェクト 0"/>
            <a:graphic xmlns:a="http://schemas.openxmlformats.org/drawingml/2006/main">
              <a:graphicData uri="http://schemas.openxmlformats.org/drawingml/2006/chart">
                <c:chart xmlns:c="http://schemas.openxmlformats.org/drawingml/2006/chart" r:id="rId8"/>
              </a:graphicData>
            </a:graphic>
          </wp:inline>
        </w:drawing>
      </w:r>
    </w:p>
    <w:p>
      <w:pPr>
        <w:pStyle w:val="30"/>
        <w:numPr>
          <w:ilvl w:val="0"/>
          <w:numId w:val="1"/>
        </w:numPr>
        <w:rPr>
          <w:rFonts w:hint="default"/>
        </w:rPr>
      </w:pPr>
      <w:r>
        <w:rPr>
          <w:rFonts w:hint="default"/>
        </w:rPr>
        <w:t>教職員や保護者、地域住民と学校の教育目標や経営方針、課題等が共有できていますか。</w:t>
      </w:r>
    </w:p>
    <w:tbl>
      <w:tblPr>
        <w:tblStyle w:val="38"/>
        <w:tblpPr w:leftFromText="142" w:rightFromText="142" w:topFromText="0" w:bottomFromText="0" w:vertAnchor="text" w:horzAnchor="margin" w:tblpXSpec="right" w:tblpY="927"/>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4</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2</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1</w:t>
            </w:r>
          </w:p>
        </w:tc>
      </w:tr>
    </w:tbl>
    <w:p>
      <w:pPr>
        <w:pStyle w:val="0"/>
        <w:rPr>
          <w:rFonts w:hint="default"/>
        </w:rPr>
      </w:pPr>
      <w:r>
        <w:rPr>
          <w:rFonts w:hint="default"/>
        </w:rPr>
        <w:drawing>
          <wp:inline distT="0" distB="0" distL="0" distR="0">
            <wp:extent cx="3635375" cy="2267585"/>
            <wp:effectExtent l="0" t="0" r="0" b="0"/>
            <wp:docPr id="1029" name="オブジェクト 0"/>
            <a:graphic xmlns:a="http://schemas.openxmlformats.org/drawingml/2006/main">
              <a:graphicData uri="http://schemas.openxmlformats.org/drawingml/2006/chart">
                <c:chart xmlns:c="http://schemas.openxmlformats.org/drawingml/2006/chart" r:id="rId9"/>
              </a:graphicData>
            </a:graphic>
          </wp:inline>
        </w:drawing>
      </w:r>
    </w:p>
    <w:p>
      <w:pPr>
        <w:pStyle w:val="0"/>
        <w:rPr>
          <w:rFonts w:hint="eastAsia"/>
        </w:rPr>
      </w:pPr>
      <w:r>
        <w:rPr>
          <w:rFonts w:hint="default"/>
        </w:rPr>
        <w:t xml:space="preserve">3 </w:t>
      </w:r>
      <w:r>
        <w:rPr>
          <w:rFonts w:hint="default"/>
        </w:rPr>
        <w:t>学校と保護者・地域住民との双方向の関係構築</w:t>
      </w:r>
    </w:p>
    <w:p>
      <w:pPr>
        <w:pStyle w:val="30"/>
        <w:numPr>
          <w:ilvl w:val="0"/>
          <w:numId w:val="2"/>
        </w:numPr>
        <w:rPr>
          <w:rFonts w:hint="default"/>
        </w:rPr>
      </w:pPr>
      <w:r>
        <w:rPr>
          <w:rFonts w:hint="default"/>
        </w:rPr>
        <w:t>学校は、地域の行事や活動等に協力的ですか。</w:t>
      </w:r>
    </w:p>
    <w:tbl>
      <w:tblPr>
        <w:tblStyle w:val="38"/>
        <w:tblpPr w:leftFromText="142" w:rightFromText="142" w:topFromText="0" w:bottomFromText="0" w:vertAnchor="text" w:horzAnchor="margin" w:tblpXSpec="right" w:tblpY="457"/>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1</w:t>
            </w:r>
          </w:p>
        </w:tc>
      </w:tr>
    </w:tbl>
    <w:p>
      <w:pPr>
        <w:pStyle w:val="0"/>
        <w:rPr>
          <w:rFonts w:hint="default"/>
        </w:rPr>
      </w:pPr>
      <w:r>
        <w:rPr>
          <w:rFonts w:hint="default"/>
        </w:rPr>
        <w:drawing>
          <wp:inline distT="0" distB="0" distL="0" distR="0">
            <wp:extent cx="3599815" cy="2267585"/>
            <wp:effectExtent l="0" t="0" r="0" b="0"/>
            <wp:docPr id="1030" name="オブジェクト 0"/>
            <a:graphic xmlns:a="http://schemas.openxmlformats.org/drawingml/2006/main">
              <a:graphicData uri="http://schemas.openxmlformats.org/drawingml/2006/chart">
                <c:chart xmlns:c="http://schemas.openxmlformats.org/drawingml/2006/chart" r:id="rId10"/>
              </a:graphicData>
            </a:graphic>
          </wp:inline>
        </w:drawing>
      </w:r>
    </w:p>
    <w:p>
      <w:pPr>
        <w:pStyle w:val="0"/>
        <w:rPr>
          <w:rFonts w:hint="eastAsia"/>
        </w:rPr>
      </w:pPr>
    </w:p>
    <w:p>
      <w:pPr>
        <w:pStyle w:val="30"/>
        <w:numPr>
          <w:ilvl w:val="0"/>
          <w:numId w:val="2"/>
        </w:numPr>
        <w:rPr>
          <w:rFonts w:hint="default"/>
        </w:rPr>
      </w:pPr>
      <w:r>
        <w:rPr>
          <w:rFonts w:hint="default"/>
        </w:rPr>
        <w:t>保護者</w:t>
      </w:r>
      <w:r>
        <w:rPr>
          <w:rFonts w:hint="default"/>
        </w:rPr>
        <w:t xml:space="preserve">(PTA) </w:t>
      </w:r>
      <w:r>
        <w:rPr>
          <w:rFonts w:hint="default"/>
        </w:rPr>
        <w:t>は、学校の教育活動に協力的ですか。</w:t>
      </w:r>
    </w:p>
    <w:tbl>
      <w:tblPr>
        <w:tblStyle w:val="38"/>
        <w:tblpPr w:leftFromText="142" w:rightFromText="142" w:topFromText="0" w:bottomFromText="0" w:vertAnchor="text" w:horzAnchor="margin" w:tblpXSpec="right" w:tblpY="457"/>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4</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0</w:t>
            </w:r>
          </w:p>
        </w:tc>
      </w:tr>
    </w:tbl>
    <w:p>
      <w:pPr>
        <w:pStyle w:val="0"/>
        <w:rPr>
          <w:rFonts w:hint="default"/>
        </w:rPr>
      </w:pPr>
      <w:r>
        <w:rPr>
          <w:rFonts w:hint="default"/>
        </w:rPr>
        <w:drawing>
          <wp:inline distT="0" distB="0" distL="0" distR="0">
            <wp:extent cx="3635375" cy="2267585"/>
            <wp:effectExtent l="0" t="0" r="0" b="0"/>
            <wp:docPr id="1031" name="オブジェクト 0"/>
            <a:graphic xmlns:a="http://schemas.openxmlformats.org/drawingml/2006/main">
              <a:graphicData uri="http://schemas.openxmlformats.org/drawingml/2006/chart">
                <c:chart xmlns:c="http://schemas.openxmlformats.org/drawingml/2006/chart" r:id="rId11"/>
              </a:graphicData>
            </a:graphic>
          </wp:inline>
        </w:drawing>
      </w:r>
    </w:p>
    <w:p>
      <w:pPr>
        <w:pStyle w:val="0"/>
        <w:rPr>
          <w:rFonts w:hint="eastAsia"/>
        </w:rPr>
      </w:pPr>
    </w:p>
    <w:p>
      <w:pPr>
        <w:pStyle w:val="30"/>
        <w:numPr>
          <w:ilvl w:val="0"/>
          <w:numId w:val="2"/>
        </w:numPr>
        <w:rPr>
          <w:rFonts w:hint="default"/>
        </w:rPr>
      </w:pPr>
      <w:r>
        <w:rPr>
          <w:rFonts w:hint="default"/>
        </w:rPr>
        <w:t>地域は、学校の教育活動に協力的ですか。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4</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0</w:t>
            </w:r>
          </w:p>
        </w:tc>
      </w:tr>
    </w:tbl>
    <w:p>
      <w:pPr>
        <w:pStyle w:val="0"/>
        <w:rPr>
          <w:rFonts w:hint="default"/>
        </w:rPr>
      </w:pPr>
      <w:r>
        <w:rPr>
          <w:rFonts w:hint="default"/>
        </w:rPr>
        <w:drawing>
          <wp:inline distT="0" distB="0" distL="0" distR="0">
            <wp:extent cx="3599815" cy="2267585"/>
            <wp:effectExtent l="0" t="0" r="0" b="0"/>
            <wp:docPr id="1032" name="オブジェクト 0"/>
            <a:graphic xmlns:a="http://schemas.openxmlformats.org/drawingml/2006/main">
              <a:graphicData uri="http://schemas.openxmlformats.org/drawingml/2006/chart">
                <c:chart xmlns:c="http://schemas.openxmlformats.org/drawingml/2006/chart" r:id="rId12"/>
              </a:graphicData>
            </a:graphic>
          </wp:inline>
        </w:drawing>
      </w:r>
    </w:p>
    <w:p>
      <w:pPr>
        <w:pStyle w:val="0"/>
        <w:rPr>
          <w:rFonts w:hint="default"/>
        </w:rPr>
      </w:pPr>
      <w:r>
        <w:rPr>
          <w:rFonts w:hint="default"/>
        </w:rPr>
        <w:br w:type="page"/>
      </w:r>
    </w:p>
    <w:p>
      <w:pPr>
        <w:pStyle w:val="0"/>
        <w:rPr>
          <w:rFonts w:hint="eastAsia"/>
        </w:rPr>
      </w:pPr>
      <w:r>
        <w:rPr>
          <w:rFonts w:hint="default"/>
        </w:rPr>
        <w:t xml:space="preserve">4 </w:t>
      </w:r>
      <w:r>
        <w:rPr>
          <w:rFonts w:hint="default"/>
        </w:rPr>
        <w:t>コミュニティ・スクールの認知</w:t>
      </w:r>
    </w:p>
    <w:p>
      <w:pPr>
        <w:pStyle w:val="30"/>
        <w:numPr>
          <w:ilvl w:val="0"/>
          <w:numId w:val="3"/>
        </w:numPr>
        <w:rPr>
          <w:rFonts w:hint="default"/>
        </w:rPr>
      </w:pPr>
      <w:r>
        <w:rPr>
          <w:rFonts w:hint="default"/>
        </w:rPr>
        <w:t>CS</w:t>
      </w:r>
      <w:r>
        <w:rPr>
          <w:rFonts w:hint="default"/>
        </w:rPr>
        <w:t>の目的や仕組み、取組について、子どもへ周知されていますか。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2</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2</w:t>
            </w:r>
          </w:p>
        </w:tc>
      </w:tr>
    </w:tbl>
    <w:p>
      <w:pPr>
        <w:pStyle w:val="0"/>
        <w:rPr>
          <w:rFonts w:hint="default"/>
        </w:rPr>
      </w:pPr>
      <w:r>
        <w:rPr>
          <w:rFonts w:hint="default"/>
        </w:rPr>
        <w:drawing>
          <wp:inline distT="0" distB="0" distL="0" distR="0">
            <wp:extent cx="3599815" cy="2267585"/>
            <wp:effectExtent l="0" t="0" r="0" b="0"/>
            <wp:docPr id="1033" name="オブジェクト 0"/>
            <a:graphic xmlns:a="http://schemas.openxmlformats.org/drawingml/2006/main">
              <a:graphicData uri="http://schemas.openxmlformats.org/drawingml/2006/chart">
                <c:chart xmlns:c="http://schemas.openxmlformats.org/drawingml/2006/chart" r:id="rId13"/>
              </a:graphicData>
            </a:graphic>
          </wp:inline>
        </w:drawing>
      </w:r>
    </w:p>
    <w:p>
      <w:pPr>
        <w:pStyle w:val="0"/>
        <w:rPr>
          <w:rFonts w:hint="eastAsia"/>
        </w:rPr>
      </w:pPr>
    </w:p>
    <w:p>
      <w:pPr>
        <w:pStyle w:val="30"/>
        <w:numPr>
          <w:ilvl w:val="0"/>
          <w:numId w:val="3"/>
        </w:numPr>
        <w:rPr>
          <w:rFonts w:hint="default"/>
        </w:rPr>
      </w:pPr>
      <w:r>
        <w:rPr>
          <w:rFonts w:hint="default"/>
        </w:rPr>
        <w:t>CS</w:t>
      </w:r>
      <w:r>
        <w:rPr>
          <w:rFonts w:hint="default"/>
        </w:rPr>
        <w:t>の目的や仕組み、取組について、教職員へ周知されていますか。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6</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1</w:t>
            </w:r>
          </w:p>
        </w:tc>
      </w:tr>
    </w:tbl>
    <w:p>
      <w:pPr>
        <w:pStyle w:val="0"/>
        <w:rPr>
          <w:rFonts w:hint="default"/>
        </w:rPr>
      </w:pPr>
      <w:r>
        <w:rPr>
          <w:rFonts w:hint="default"/>
        </w:rPr>
        <w:drawing>
          <wp:inline distT="0" distB="0" distL="0" distR="0">
            <wp:extent cx="3599815" cy="2267585"/>
            <wp:effectExtent l="0" t="0" r="0" b="0"/>
            <wp:docPr id="1034" name="オブジェクト 0"/>
            <a:graphic xmlns:a="http://schemas.openxmlformats.org/drawingml/2006/main">
              <a:graphicData uri="http://schemas.openxmlformats.org/drawingml/2006/chart">
                <c:chart xmlns:c="http://schemas.openxmlformats.org/drawingml/2006/chart" r:id="rId14"/>
              </a:graphicData>
            </a:graphic>
          </wp:inline>
        </w:drawing>
      </w:r>
    </w:p>
    <w:p>
      <w:pPr>
        <w:pStyle w:val="0"/>
        <w:rPr>
          <w:rFonts w:hint="eastAsia"/>
        </w:rPr>
      </w:pPr>
    </w:p>
    <w:p>
      <w:pPr>
        <w:pStyle w:val="30"/>
        <w:numPr>
          <w:ilvl w:val="0"/>
          <w:numId w:val="3"/>
        </w:numPr>
        <w:rPr>
          <w:rFonts w:hint="default"/>
        </w:rPr>
      </w:pPr>
      <w:r>
        <w:rPr>
          <w:rFonts w:hint="default"/>
        </w:rPr>
        <w:t>CS</w:t>
      </w:r>
      <w:r>
        <w:rPr>
          <w:rFonts w:hint="default"/>
        </w:rPr>
        <w:t>の目的や仕組み、取組について、保護者・地域住民へ周知されていますか。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1</w:t>
            </w:r>
          </w:p>
        </w:tc>
      </w:tr>
    </w:tbl>
    <w:p>
      <w:pPr>
        <w:pStyle w:val="0"/>
        <w:rPr>
          <w:rFonts w:hint="default"/>
        </w:rPr>
      </w:pPr>
      <w:r>
        <w:rPr>
          <w:rFonts w:hint="default"/>
        </w:rPr>
        <w:drawing>
          <wp:inline distT="0" distB="0" distL="0" distR="0">
            <wp:extent cx="3599815" cy="2267585"/>
            <wp:effectExtent l="0" t="0" r="0" b="0"/>
            <wp:docPr id="1035" name="オブジェクト 0"/>
            <a:graphic xmlns:a="http://schemas.openxmlformats.org/drawingml/2006/main">
              <a:graphicData uri="http://schemas.openxmlformats.org/drawingml/2006/chart">
                <c:chart xmlns:c="http://schemas.openxmlformats.org/drawingml/2006/chart" r:id="rId15"/>
              </a:graphicData>
            </a:graphic>
          </wp:inline>
        </w:drawing>
      </w:r>
    </w:p>
    <w:p>
      <w:pPr>
        <w:pStyle w:val="0"/>
        <w:rPr>
          <w:rFonts w:hint="default"/>
        </w:rPr>
      </w:pPr>
      <w:r>
        <w:rPr>
          <w:rFonts w:hint="default"/>
        </w:rPr>
        <w:br w:type="page"/>
      </w:r>
    </w:p>
    <w:p>
      <w:pPr>
        <w:pStyle w:val="0"/>
        <w:rPr>
          <w:rFonts w:hint="default"/>
        </w:rPr>
      </w:pPr>
      <w:r>
        <w:rPr>
          <w:rFonts w:hint="default"/>
        </w:rPr>
        <w:t xml:space="preserve">II </w:t>
      </w:r>
      <w:r>
        <w:rPr>
          <w:rFonts w:hint="default"/>
        </w:rPr>
        <w:t>開かれた教育活動等の進捗状況</w:t>
      </w:r>
    </w:p>
    <w:p>
      <w:pPr>
        <w:pStyle w:val="0"/>
        <w:rPr>
          <w:rFonts w:hint="eastAsia"/>
        </w:rPr>
      </w:pPr>
      <w:r>
        <w:rPr>
          <w:rFonts w:hint="default"/>
        </w:rPr>
        <w:t xml:space="preserve">1 </w:t>
      </w:r>
      <w:r>
        <w:rPr>
          <w:rFonts w:hint="default"/>
        </w:rPr>
        <w:t>地域連携を意識した活動の整備</w:t>
      </w:r>
      <w:r>
        <w:rPr>
          <w:rFonts w:hint="default"/>
        </w:rPr>
        <w:t>•</w:t>
      </w:r>
      <w:r>
        <w:rPr>
          <w:rFonts w:hint="default"/>
        </w:rPr>
        <w:t>取組</w:t>
      </w:r>
    </w:p>
    <w:p>
      <w:pPr>
        <w:pStyle w:val="30"/>
        <w:numPr>
          <w:ilvl w:val="0"/>
          <w:numId w:val="4"/>
        </w:numPr>
        <w:rPr>
          <w:rFonts w:hint="default"/>
        </w:rPr>
      </w:pPr>
      <w:r>
        <w:rPr>
          <w:rFonts w:hint="default"/>
        </w:rPr>
        <w:t>外部人材を生かした活動の整備</w:t>
      </w:r>
      <w:r>
        <w:rPr>
          <w:rFonts w:hint="default"/>
        </w:rPr>
        <w:t>•</w:t>
      </w:r>
      <w:r>
        <w:rPr>
          <w:rFonts w:hint="default"/>
        </w:rPr>
        <w:t>取組が進められていますか。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1</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2</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2</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2</w:t>
            </w:r>
          </w:p>
        </w:tc>
      </w:tr>
    </w:tbl>
    <w:p>
      <w:pPr>
        <w:pStyle w:val="0"/>
        <w:rPr>
          <w:rFonts w:hint="default"/>
        </w:rPr>
      </w:pPr>
      <w:r>
        <w:rPr>
          <w:rFonts w:hint="default"/>
        </w:rPr>
        <w:drawing>
          <wp:inline distT="0" distB="0" distL="0" distR="0">
            <wp:extent cx="3599815" cy="2267585"/>
            <wp:effectExtent l="0" t="0" r="0" b="0"/>
            <wp:docPr id="1036" name="オブジェクト 0"/>
            <a:graphic xmlns:a="http://schemas.openxmlformats.org/drawingml/2006/main">
              <a:graphicData uri="http://schemas.openxmlformats.org/drawingml/2006/chart">
                <c:chart xmlns:c="http://schemas.openxmlformats.org/drawingml/2006/chart" r:id="rId16"/>
              </a:graphicData>
            </a:graphic>
          </wp:inline>
        </w:drawing>
      </w:r>
    </w:p>
    <w:p>
      <w:pPr>
        <w:pStyle w:val="0"/>
        <w:rPr>
          <w:rFonts w:hint="eastAsia"/>
        </w:rPr>
      </w:pPr>
    </w:p>
    <w:p>
      <w:pPr>
        <w:pStyle w:val="30"/>
        <w:numPr>
          <w:ilvl w:val="0"/>
          <w:numId w:val="4"/>
        </w:numPr>
        <w:rPr>
          <w:rFonts w:hint="default"/>
        </w:rPr>
      </w:pPr>
      <w:r>
        <w:rPr>
          <w:rFonts w:hint="default"/>
        </w:rPr>
        <w:t>自然、文化、伝統、施設等を生かした活動の整備</w:t>
      </w:r>
      <w:r>
        <w:rPr>
          <w:rFonts w:hint="default"/>
        </w:rPr>
        <w:t>•</w:t>
      </w:r>
      <w:r>
        <w:rPr>
          <w:rFonts w:hint="default"/>
        </w:rPr>
        <w:t>取組が進められていますか。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4</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0</w:t>
            </w:r>
          </w:p>
        </w:tc>
      </w:tr>
    </w:tbl>
    <w:p>
      <w:pPr>
        <w:pStyle w:val="0"/>
        <w:rPr>
          <w:rFonts w:hint="eastAsia"/>
        </w:rPr>
      </w:pPr>
      <w:r>
        <w:rPr>
          <w:rFonts w:hint="default"/>
        </w:rPr>
        <w:drawing>
          <wp:inline distT="0" distB="0" distL="0" distR="0">
            <wp:extent cx="3599815" cy="2267585"/>
            <wp:effectExtent l="0" t="0" r="0" b="0"/>
            <wp:docPr id="1037" name="オブジェクト 0"/>
            <a:graphic xmlns:a="http://schemas.openxmlformats.org/drawingml/2006/main">
              <a:graphicData uri="http://schemas.openxmlformats.org/drawingml/2006/chart">
                <c:chart xmlns:c="http://schemas.openxmlformats.org/drawingml/2006/chart" r:id="rId17"/>
              </a:graphicData>
            </a:graphic>
          </wp:inline>
        </w:drawing>
      </w:r>
    </w:p>
    <w:p>
      <w:pPr>
        <w:pStyle w:val="0"/>
        <w:rPr>
          <w:rFonts w:hint="default"/>
        </w:rPr>
      </w:pPr>
    </w:p>
    <w:p>
      <w:pPr>
        <w:pStyle w:val="30"/>
        <w:numPr>
          <w:ilvl w:val="0"/>
          <w:numId w:val="4"/>
        </w:numPr>
        <w:rPr>
          <w:rFonts w:hint="default"/>
        </w:rPr>
      </w:pPr>
      <w:r>
        <w:rPr>
          <w:rFonts w:hint="default"/>
        </w:rPr>
        <w:t>地域と共に学ぶ場の整備・取組が進められていますか。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5</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2</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0</w:t>
            </w:r>
          </w:p>
        </w:tc>
      </w:tr>
    </w:tbl>
    <w:p>
      <w:pPr>
        <w:pStyle w:val="0"/>
        <w:rPr>
          <w:rFonts w:hint="default"/>
        </w:rPr>
      </w:pPr>
      <w:r>
        <w:rPr>
          <w:rFonts w:hint="default"/>
        </w:rPr>
        <w:drawing>
          <wp:inline distT="0" distB="0" distL="0" distR="0">
            <wp:extent cx="3599815" cy="2267585"/>
            <wp:effectExtent l="0" t="0" r="0" b="0"/>
            <wp:docPr id="1038" name="オブジェクト 0"/>
            <a:graphic xmlns:a="http://schemas.openxmlformats.org/drawingml/2006/main">
              <a:graphicData uri="http://schemas.openxmlformats.org/drawingml/2006/chart">
                <c:chart xmlns:c="http://schemas.openxmlformats.org/drawingml/2006/chart" r:id="rId18"/>
              </a:graphicData>
            </a:graphic>
          </wp:inline>
        </w:drawing>
      </w:r>
    </w:p>
    <w:p>
      <w:pPr>
        <w:pStyle w:val="0"/>
        <w:rPr>
          <w:rFonts w:hint="default"/>
        </w:rPr>
      </w:pPr>
      <w:r>
        <w:rPr>
          <w:rFonts w:hint="default"/>
        </w:rPr>
        <w:br w:type="page"/>
      </w:r>
    </w:p>
    <w:p>
      <w:pPr>
        <w:pStyle w:val="30"/>
        <w:numPr>
          <w:ilvl w:val="0"/>
          <w:numId w:val="4"/>
        </w:numPr>
        <w:rPr>
          <w:rFonts w:hint="default"/>
        </w:rPr>
      </w:pPr>
      <w:r>
        <w:rPr>
          <w:rFonts w:hint="default"/>
        </w:rPr>
        <w:t>子どもたちによる地域行事への参加・参画等の取組が進められていますか。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5</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2</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0</w:t>
            </w:r>
          </w:p>
        </w:tc>
      </w:tr>
    </w:tbl>
    <w:p>
      <w:pPr>
        <w:pStyle w:val="0"/>
        <w:rPr>
          <w:rFonts w:hint="default"/>
        </w:rPr>
      </w:pPr>
      <w:r>
        <w:rPr>
          <w:rFonts w:hint="default"/>
        </w:rPr>
        <w:drawing>
          <wp:inline distT="0" distB="0" distL="0" distR="0">
            <wp:extent cx="3599815" cy="2267585"/>
            <wp:effectExtent l="0" t="0" r="0" b="0"/>
            <wp:docPr id="1039" name="オブジェクト 0"/>
            <a:graphic xmlns:a="http://schemas.openxmlformats.org/drawingml/2006/main">
              <a:graphicData uri="http://schemas.openxmlformats.org/drawingml/2006/chart">
                <c:chart xmlns:c="http://schemas.openxmlformats.org/drawingml/2006/chart" r:id="rId19"/>
              </a:graphicData>
            </a:graphic>
          </wp:inline>
        </w:drawing>
      </w:r>
    </w:p>
    <w:p>
      <w:pPr>
        <w:pStyle w:val="0"/>
        <w:rPr>
          <w:rFonts w:hint="default"/>
        </w:rPr>
      </w:pPr>
    </w:p>
    <w:p>
      <w:pPr>
        <w:pStyle w:val="0"/>
        <w:rPr>
          <w:rFonts w:hint="eastAsia"/>
        </w:rPr>
      </w:pPr>
      <w:r>
        <w:rPr>
          <w:rFonts w:hint="default"/>
        </w:rPr>
        <w:t xml:space="preserve">2 </w:t>
      </w:r>
      <w:r>
        <w:rPr>
          <w:rFonts w:hint="default"/>
        </w:rPr>
        <w:t>地域に開かれた学校情報</w:t>
      </w:r>
    </w:p>
    <w:p>
      <w:pPr>
        <w:pStyle w:val="30"/>
        <w:numPr>
          <w:ilvl w:val="0"/>
          <w:numId w:val="5"/>
        </w:numPr>
        <w:rPr>
          <w:rFonts w:hint="default"/>
        </w:rPr>
      </w:pPr>
      <w:r>
        <w:rPr>
          <w:rFonts w:hint="default"/>
        </w:rPr>
        <w:t>学校は、地域の行事や活動等を子どもに知らせる環境を整備していますか。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2</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2</w:t>
            </w:r>
          </w:p>
        </w:tc>
      </w:tr>
    </w:tbl>
    <w:p>
      <w:pPr>
        <w:pStyle w:val="0"/>
        <w:rPr>
          <w:rFonts w:hint="default"/>
        </w:rPr>
      </w:pPr>
      <w:r>
        <w:rPr>
          <w:rFonts w:hint="default"/>
        </w:rPr>
        <w:drawing>
          <wp:inline distT="0" distB="0" distL="0" distR="0">
            <wp:extent cx="3599815" cy="2267585"/>
            <wp:effectExtent l="0" t="0" r="0" b="0"/>
            <wp:docPr id="1040" name="オブジェクト 0"/>
            <a:graphic xmlns:a="http://schemas.openxmlformats.org/drawingml/2006/main">
              <a:graphicData uri="http://schemas.openxmlformats.org/drawingml/2006/chart">
                <c:chart xmlns:c="http://schemas.openxmlformats.org/drawingml/2006/chart" r:id="rId20"/>
              </a:graphicData>
            </a:graphic>
          </wp:inline>
        </w:drawing>
      </w:r>
    </w:p>
    <w:p>
      <w:pPr>
        <w:pStyle w:val="0"/>
        <w:rPr>
          <w:rFonts w:hint="eastAsia"/>
        </w:rPr>
      </w:pPr>
    </w:p>
    <w:p>
      <w:pPr>
        <w:pStyle w:val="30"/>
        <w:numPr>
          <w:ilvl w:val="0"/>
          <w:numId w:val="5"/>
        </w:numPr>
        <w:rPr>
          <w:rFonts w:hint="default"/>
        </w:rPr>
      </w:pPr>
      <w:r>
        <w:rPr>
          <w:rFonts w:hint="default"/>
        </w:rPr>
        <w:t>学校は、学校関係者評価結果等を保護者や学校運営協議会委員へ発信していますか。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1</w:t>
            </w:r>
          </w:p>
        </w:tc>
      </w:tr>
    </w:tbl>
    <w:p>
      <w:pPr>
        <w:pStyle w:val="0"/>
        <w:rPr>
          <w:rFonts w:hint="default"/>
        </w:rPr>
      </w:pPr>
      <w:r>
        <w:rPr>
          <w:rFonts w:hint="default"/>
        </w:rPr>
        <w:drawing>
          <wp:inline distT="0" distB="0" distL="0" distR="0">
            <wp:extent cx="3599815" cy="2267585"/>
            <wp:effectExtent l="0" t="0" r="0" b="0"/>
            <wp:docPr id="1041" name="オブジェクト 0"/>
            <a:graphic xmlns:a="http://schemas.openxmlformats.org/drawingml/2006/main">
              <a:graphicData uri="http://schemas.openxmlformats.org/drawingml/2006/chart">
                <c:chart xmlns:c="http://schemas.openxmlformats.org/drawingml/2006/chart" r:id="rId21"/>
              </a:graphicData>
            </a:graphic>
          </wp:inline>
        </w:drawing>
      </w:r>
    </w:p>
    <w:p>
      <w:pPr>
        <w:pStyle w:val="0"/>
        <w:rPr>
          <w:rFonts w:hint="default"/>
        </w:rPr>
      </w:pPr>
      <w:r>
        <w:rPr>
          <w:rFonts w:hint="default"/>
        </w:rPr>
        <w:br w:type="page"/>
      </w:r>
    </w:p>
    <w:p>
      <w:pPr>
        <w:pStyle w:val="0"/>
        <w:rPr>
          <w:rFonts w:hint="default"/>
        </w:rPr>
      </w:pPr>
      <w:r>
        <w:rPr>
          <w:rFonts w:hint="default"/>
        </w:rPr>
        <w:t>II</w:t>
      </w:r>
      <w:r>
        <w:rPr>
          <w:rFonts w:hint="eastAsia"/>
        </w:rPr>
        <w:t>I</w:t>
      </w:r>
      <w:r>
        <w:rPr>
          <w:rFonts w:hint="default"/>
        </w:rPr>
        <w:t xml:space="preserve"> </w:t>
      </w:r>
      <w:r>
        <w:rPr>
          <w:rFonts w:hint="default"/>
        </w:rPr>
        <w:t>コミュニティ・スクールによる成果</w:t>
      </w:r>
    </w:p>
    <w:p>
      <w:pPr>
        <w:pStyle w:val="0"/>
        <w:rPr>
          <w:rFonts w:hint="eastAsia"/>
        </w:rPr>
      </w:pPr>
      <w:r>
        <w:rPr>
          <w:rFonts w:hint="default"/>
        </w:rPr>
        <w:t xml:space="preserve">1 </w:t>
      </w:r>
      <w:r>
        <w:rPr>
          <w:rFonts w:hint="default"/>
        </w:rPr>
        <w:t>学校経営・運営の進捗状況</w:t>
      </w:r>
    </w:p>
    <w:p>
      <w:pPr>
        <w:pStyle w:val="30"/>
        <w:numPr>
          <w:ilvl w:val="0"/>
          <w:numId w:val="6"/>
        </w:numPr>
        <w:rPr>
          <w:rFonts w:hint="default"/>
        </w:rPr>
      </w:pPr>
      <w:r>
        <w:rPr>
          <w:rFonts w:hint="default"/>
        </w:rPr>
        <w:t>学校の考えや方針を家庭・地域に浸透させることにつながっていますか。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5</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2</w:t>
            </w:r>
          </w:p>
        </w:tc>
      </w:tr>
    </w:tbl>
    <w:p>
      <w:pPr>
        <w:pStyle w:val="0"/>
        <w:rPr>
          <w:rFonts w:hint="default"/>
        </w:rPr>
      </w:pPr>
      <w:r>
        <w:rPr>
          <w:rFonts w:hint="default"/>
        </w:rPr>
        <w:drawing>
          <wp:inline distT="0" distB="0" distL="0" distR="0">
            <wp:extent cx="3599815" cy="2267585"/>
            <wp:effectExtent l="0" t="0" r="0" b="0"/>
            <wp:docPr id="1042" name="オブジェクト 0"/>
            <a:graphic xmlns:a="http://schemas.openxmlformats.org/drawingml/2006/main">
              <a:graphicData uri="http://schemas.openxmlformats.org/drawingml/2006/chart">
                <c:chart xmlns:c="http://schemas.openxmlformats.org/drawingml/2006/chart" r:id="rId22"/>
              </a:graphicData>
            </a:graphic>
          </wp:inline>
        </w:drawing>
      </w:r>
    </w:p>
    <w:p>
      <w:pPr>
        <w:pStyle w:val="0"/>
        <w:rPr>
          <w:rFonts w:hint="eastAsia"/>
        </w:rPr>
      </w:pPr>
    </w:p>
    <w:p>
      <w:pPr>
        <w:pStyle w:val="30"/>
        <w:numPr>
          <w:ilvl w:val="0"/>
          <w:numId w:val="6"/>
        </w:numPr>
        <w:rPr>
          <w:rFonts w:hint="default"/>
        </w:rPr>
      </w:pPr>
      <w:r>
        <w:rPr>
          <w:rFonts w:hint="default"/>
        </w:rPr>
        <w:t>学校を支援・応援する声や行動の増加につながっていますか。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4</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2</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1</w:t>
            </w:r>
          </w:p>
        </w:tc>
      </w:tr>
    </w:tbl>
    <w:p>
      <w:pPr>
        <w:pStyle w:val="0"/>
        <w:rPr>
          <w:rFonts w:hint="default"/>
        </w:rPr>
      </w:pPr>
      <w:r>
        <w:rPr>
          <w:rFonts w:hint="default"/>
        </w:rPr>
        <w:drawing>
          <wp:inline distT="0" distB="0" distL="0" distR="0">
            <wp:extent cx="3599815" cy="2267585"/>
            <wp:effectExtent l="0" t="0" r="0" b="0"/>
            <wp:docPr id="1043" name="オブジェクト 0"/>
            <a:graphic xmlns:a="http://schemas.openxmlformats.org/drawingml/2006/main">
              <a:graphicData uri="http://schemas.openxmlformats.org/drawingml/2006/chart">
                <c:chart xmlns:c="http://schemas.openxmlformats.org/drawingml/2006/chart" r:id="rId23"/>
              </a:graphicData>
            </a:graphic>
          </wp:inline>
        </w:drawing>
      </w:r>
    </w:p>
    <w:p>
      <w:pPr>
        <w:pStyle w:val="0"/>
        <w:rPr>
          <w:rFonts w:hint="eastAsia"/>
        </w:rPr>
      </w:pPr>
    </w:p>
    <w:p>
      <w:pPr>
        <w:pStyle w:val="30"/>
        <w:numPr>
          <w:ilvl w:val="0"/>
          <w:numId w:val="6"/>
        </w:numPr>
        <w:rPr>
          <w:rFonts w:hint="default"/>
        </w:rPr>
      </w:pPr>
      <w:r>
        <w:rPr>
          <w:rFonts w:hint="default"/>
        </w:rPr>
        <w:t>学校の教育活動の活性化につながっていますか。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5</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2</w:t>
            </w:r>
          </w:p>
        </w:tc>
      </w:tr>
    </w:tbl>
    <w:p>
      <w:pPr>
        <w:pStyle w:val="0"/>
        <w:rPr>
          <w:rFonts w:hint="default"/>
        </w:rPr>
      </w:pPr>
      <w:r>
        <w:rPr>
          <w:rFonts w:hint="default"/>
        </w:rPr>
        <w:drawing>
          <wp:inline distT="0" distB="0" distL="0" distR="0">
            <wp:extent cx="3599815" cy="2267585"/>
            <wp:effectExtent l="0" t="0" r="0" b="0"/>
            <wp:docPr id="1044" name="オブジェクト 0"/>
            <a:graphic xmlns:a="http://schemas.openxmlformats.org/drawingml/2006/main">
              <a:graphicData uri="http://schemas.openxmlformats.org/drawingml/2006/chart">
                <c:chart xmlns:c="http://schemas.openxmlformats.org/drawingml/2006/chart" r:id="rId24"/>
              </a:graphicData>
            </a:graphic>
          </wp:inline>
        </w:drawing>
      </w:r>
    </w:p>
    <w:p>
      <w:pPr>
        <w:pStyle w:val="0"/>
        <w:rPr>
          <w:rFonts w:hint="default"/>
        </w:rPr>
      </w:pPr>
      <w:r>
        <w:rPr>
          <w:rFonts w:hint="default"/>
        </w:rPr>
        <w:br w:type="page"/>
      </w:r>
    </w:p>
    <w:p>
      <w:pPr>
        <w:pStyle w:val="0"/>
        <w:rPr>
          <w:rFonts w:hint="eastAsia"/>
        </w:rPr>
      </w:pPr>
      <w:r>
        <w:rPr>
          <w:rFonts w:hint="default"/>
        </w:rPr>
        <w:t xml:space="preserve">2 </w:t>
      </w:r>
      <w:r>
        <w:rPr>
          <w:rFonts w:hint="default"/>
        </w:rPr>
        <w:t>子どもの育ちの状況</w:t>
      </w:r>
    </w:p>
    <w:p>
      <w:pPr>
        <w:pStyle w:val="30"/>
        <w:numPr>
          <w:ilvl w:val="0"/>
          <w:numId w:val="7"/>
        </w:numPr>
        <w:rPr>
          <w:rFonts w:hint="default"/>
        </w:rPr>
      </w:pPr>
      <w:r>
        <w:rPr>
          <w:rFonts w:hint="default"/>
        </w:rPr>
        <w:t>町民性（地域や地域情報に関する関心）の育成につながっていますか。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4</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1</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2</w:t>
            </w:r>
          </w:p>
        </w:tc>
      </w:tr>
    </w:tbl>
    <w:p>
      <w:pPr>
        <w:pStyle w:val="0"/>
        <w:rPr>
          <w:rFonts w:hint="default"/>
        </w:rPr>
      </w:pPr>
      <w:r>
        <w:rPr>
          <w:rFonts w:hint="default"/>
        </w:rPr>
        <w:drawing>
          <wp:inline distT="0" distB="0" distL="0" distR="0">
            <wp:extent cx="3599815" cy="2267585"/>
            <wp:effectExtent l="0" t="0" r="0" b="0"/>
            <wp:docPr id="1045" name="オブジェクト 0"/>
            <a:graphic xmlns:a="http://schemas.openxmlformats.org/drawingml/2006/main">
              <a:graphicData uri="http://schemas.openxmlformats.org/drawingml/2006/chart">
                <c:chart xmlns:c="http://schemas.openxmlformats.org/drawingml/2006/chart" r:id="rId25"/>
              </a:graphicData>
            </a:graphic>
          </wp:inline>
        </w:drawing>
      </w:r>
    </w:p>
    <w:p>
      <w:pPr>
        <w:pStyle w:val="0"/>
        <w:rPr>
          <w:rFonts w:hint="eastAsia"/>
        </w:rPr>
      </w:pPr>
    </w:p>
    <w:p>
      <w:pPr>
        <w:pStyle w:val="30"/>
        <w:numPr>
          <w:ilvl w:val="0"/>
          <w:numId w:val="7"/>
        </w:numPr>
        <w:rPr>
          <w:rFonts w:hint="default"/>
        </w:rPr>
      </w:pPr>
      <w:r>
        <w:rPr>
          <w:rFonts w:hint="default"/>
        </w:rPr>
        <w:t>学力や体力等の生きる力の育成につながっていますか。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6</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1</w:t>
            </w:r>
          </w:p>
        </w:tc>
      </w:tr>
    </w:tbl>
    <w:p>
      <w:pPr>
        <w:pStyle w:val="0"/>
        <w:rPr>
          <w:rFonts w:hint="default"/>
        </w:rPr>
      </w:pPr>
      <w:r>
        <w:rPr>
          <w:rFonts w:hint="default"/>
        </w:rPr>
        <w:drawing>
          <wp:inline distT="0" distB="0" distL="0" distR="0">
            <wp:extent cx="3599815" cy="2267585"/>
            <wp:effectExtent l="0" t="0" r="0" b="0"/>
            <wp:docPr id="1046" name="オブジェクト 0"/>
            <a:graphic xmlns:a="http://schemas.openxmlformats.org/drawingml/2006/main">
              <a:graphicData uri="http://schemas.openxmlformats.org/drawingml/2006/chart">
                <c:chart xmlns:c="http://schemas.openxmlformats.org/drawingml/2006/chart" r:id="rId26"/>
              </a:graphicData>
            </a:graphic>
          </wp:inline>
        </w:drawing>
      </w:r>
    </w:p>
    <w:p>
      <w:pPr>
        <w:pStyle w:val="0"/>
        <w:rPr>
          <w:rFonts w:hint="eastAsia"/>
        </w:rPr>
      </w:pPr>
    </w:p>
    <w:p>
      <w:pPr>
        <w:pStyle w:val="30"/>
        <w:numPr>
          <w:ilvl w:val="0"/>
          <w:numId w:val="7"/>
        </w:numPr>
        <w:rPr>
          <w:rFonts w:hint="default"/>
        </w:rPr>
      </w:pPr>
      <w:r>
        <w:rPr>
          <w:rFonts w:hint="default"/>
        </w:rPr>
        <w:t>基本的生活習慣や学習</w:t>
      </w:r>
      <w:r>
        <w:rPr>
          <w:rFonts w:hint="eastAsia"/>
        </w:rPr>
        <w:t>習慣</w:t>
      </w:r>
      <w:r>
        <w:rPr>
          <w:rFonts w:hint="default"/>
        </w:rPr>
        <w:t>の形成につながっていますか。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1</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4</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1</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1</w:t>
            </w:r>
          </w:p>
        </w:tc>
      </w:tr>
    </w:tbl>
    <w:p>
      <w:pPr>
        <w:pStyle w:val="0"/>
        <w:rPr>
          <w:rFonts w:hint="default"/>
        </w:rPr>
      </w:pPr>
      <w:r>
        <w:rPr>
          <w:rFonts w:hint="default"/>
        </w:rPr>
        <w:drawing>
          <wp:inline distT="0" distB="0" distL="0" distR="0">
            <wp:extent cx="3599815" cy="2267585"/>
            <wp:effectExtent l="0" t="0" r="0" b="0"/>
            <wp:docPr id="1047" name="オブジェクト 0"/>
            <a:graphic xmlns:a="http://schemas.openxmlformats.org/drawingml/2006/main">
              <a:graphicData uri="http://schemas.openxmlformats.org/drawingml/2006/chart">
                <c:chart xmlns:c="http://schemas.openxmlformats.org/drawingml/2006/chart" r:id="rId27"/>
              </a:graphicData>
            </a:graphic>
          </wp:inline>
        </w:drawing>
      </w:r>
    </w:p>
    <w:p>
      <w:pPr>
        <w:pStyle w:val="0"/>
        <w:rPr>
          <w:rFonts w:hint="default"/>
        </w:rPr>
      </w:pPr>
      <w:r>
        <w:rPr>
          <w:rFonts w:hint="default"/>
        </w:rPr>
        <w:br w:type="page"/>
      </w:r>
    </w:p>
    <w:p>
      <w:pPr>
        <w:pStyle w:val="0"/>
        <w:rPr>
          <w:rFonts w:hint="eastAsia"/>
        </w:rPr>
      </w:pPr>
      <w:r>
        <w:rPr>
          <w:rFonts w:hint="default"/>
        </w:rPr>
        <w:t xml:space="preserve">3 </w:t>
      </w:r>
      <w:r>
        <w:rPr>
          <w:rFonts w:hint="default"/>
        </w:rPr>
        <w:t>家庭の教育力の状況</w:t>
      </w:r>
    </w:p>
    <w:p>
      <w:pPr>
        <w:pStyle w:val="30"/>
        <w:numPr>
          <w:ilvl w:val="0"/>
          <w:numId w:val="8"/>
        </w:numPr>
        <w:rPr>
          <w:rFonts w:hint="default"/>
        </w:rPr>
      </w:pPr>
      <w:r>
        <w:rPr>
          <w:rFonts w:hint="default"/>
        </w:rPr>
        <w:t>基本的生活習慣や学習習慣への保護者の関心につながっていますか。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1</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1</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2</w:t>
            </w:r>
          </w:p>
        </w:tc>
      </w:tr>
    </w:tbl>
    <w:p>
      <w:pPr>
        <w:pStyle w:val="0"/>
        <w:rPr>
          <w:rFonts w:hint="eastAsia"/>
        </w:rPr>
      </w:pPr>
      <w:r>
        <w:rPr>
          <w:rFonts w:hint="default"/>
        </w:rPr>
        <w:drawing>
          <wp:inline distT="0" distB="0" distL="0" distR="0">
            <wp:extent cx="3599815" cy="2267585"/>
            <wp:effectExtent l="0" t="0" r="0" b="0"/>
            <wp:docPr id="1048" name="オブジェクト 0"/>
            <a:graphic xmlns:a="http://schemas.openxmlformats.org/drawingml/2006/main">
              <a:graphicData uri="http://schemas.openxmlformats.org/drawingml/2006/chart">
                <c:chart xmlns:c="http://schemas.openxmlformats.org/drawingml/2006/chart" r:id="rId28"/>
              </a:graphicData>
            </a:graphic>
          </wp:inline>
        </w:drawing>
      </w:r>
    </w:p>
    <w:p>
      <w:pPr>
        <w:pStyle w:val="0"/>
        <w:rPr>
          <w:rFonts w:hint="eastAsia"/>
        </w:rPr>
      </w:pPr>
    </w:p>
    <w:p>
      <w:pPr>
        <w:pStyle w:val="30"/>
        <w:numPr>
          <w:ilvl w:val="0"/>
          <w:numId w:val="8"/>
        </w:numPr>
        <w:rPr>
          <w:rFonts w:hint="default"/>
        </w:rPr>
      </w:pPr>
      <w:r>
        <w:rPr>
          <w:rFonts w:hint="default"/>
        </w:rPr>
        <w:t>子どもの学びや体験交流の場づくりへの保護者の関心につながっていますか。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3</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1</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3</w:t>
            </w:r>
          </w:p>
        </w:tc>
      </w:tr>
    </w:tbl>
    <w:p>
      <w:pPr>
        <w:pStyle w:val="0"/>
        <w:rPr>
          <w:rFonts w:hint="default"/>
        </w:rPr>
      </w:pPr>
      <w:r>
        <w:rPr>
          <w:rFonts w:hint="default"/>
        </w:rPr>
        <w:drawing>
          <wp:inline distT="0" distB="0" distL="0" distR="0">
            <wp:extent cx="3599815" cy="2267585"/>
            <wp:effectExtent l="0" t="0" r="0" b="0"/>
            <wp:docPr id="1049" name="オブジェクト 0"/>
            <a:graphic xmlns:a="http://schemas.openxmlformats.org/drawingml/2006/main">
              <a:graphicData uri="http://schemas.openxmlformats.org/drawingml/2006/chart">
                <c:chart xmlns:c="http://schemas.openxmlformats.org/drawingml/2006/chart" r:id="rId29"/>
              </a:graphicData>
            </a:graphic>
          </wp:inline>
        </w:drawing>
      </w:r>
    </w:p>
    <w:p>
      <w:pPr>
        <w:pStyle w:val="0"/>
        <w:rPr>
          <w:rFonts w:hint="eastAsia"/>
        </w:rPr>
      </w:pPr>
    </w:p>
    <w:p>
      <w:pPr>
        <w:pStyle w:val="30"/>
        <w:numPr>
          <w:ilvl w:val="0"/>
          <w:numId w:val="8"/>
        </w:numPr>
        <w:rPr>
          <w:rFonts w:hint="default"/>
        </w:rPr>
      </w:pPr>
      <w:r>
        <w:rPr>
          <w:rFonts w:hint="default"/>
        </w:rPr>
        <w:t>子どもを誘っての保護者自身の地域行事への参加につながっていますか。</w:t>
      </w:r>
    </w:p>
    <w:tbl>
      <w:tblPr>
        <w:tblStyle w:val="38"/>
        <w:tblpPr w:leftFromText="142" w:rightFromText="142" w:topFromText="0" w:bottomFromText="0" w:vertAnchor="text" w:horzAnchor="margin" w:tblpXSpec="right" w:tblpY="529"/>
        <w:tblW w:w="3823" w:type="dxa"/>
        <w:tblLayout w:type="fixed"/>
        <w:tblLook w:firstRow="1" w:lastRow="0" w:firstColumn="1" w:lastColumn="0" w:noHBand="0" w:noVBand="1" w:val="04A0"/>
      </w:tblPr>
      <w:tblGrid>
        <w:gridCol w:w="2405"/>
        <w:gridCol w:w="1418"/>
      </w:tblGrid>
      <w:tr>
        <w:trPr/>
        <w:tc>
          <w:tcPr>
            <w:tcW w:w="2405" w:type="dxa"/>
            <w:vAlign w:val="top"/>
          </w:tcPr>
          <w:p>
            <w:pPr>
              <w:pStyle w:val="0"/>
              <w:rPr>
                <w:rFonts w:hint="default"/>
              </w:rPr>
            </w:pPr>
          </w:p>
        </w:tc>
        <w:tc>
          <w:tcPr>
            <w:tcW w:w="1418" w:type="dxa"/>
            <w:vAlign w:val="top"/>
          </w:tcPr>
          <w:p>
            <w:pPr>
              <w:pStyle w:val="0"/>
              <w:rPr>
                <w:rFonts w:hint="default"/>
              </w:rPr>
            </w:pPr>
            <w:r>
              <w:rPr>
                <w:rFonts w:hint="eastAsia"/>
              </w:rPr>
              <w:t>回答人数</w:t>
            </w:r>
          </w:p>
        </w:tc>
      </w:tr>
      <w:tr>
        <w:trPr/>
        <w:tc>
          <w:tcPr>
            <w:tcW w:w="2405" w:type="dxa"/>
            <w:vAlign w:val="top"/>
          </w:tcPr>
          <w:p>
            <w:pPr>
              <w:pStyle w:val="0"/>
              <w:rPr>
                <w:rFonts w:hint="eastAsia"/>
              </w:rPr>
            </w:pPr>
            <w:r>
              <w:rPr>
                <w:rFonts w:hint="default"/>
              </w:rPr>
              <w:t>1.</w:t>
            </w:r>
            <w:r>
              <w:rPr>
                <w:rFonts w:hint="default"/>
              </w:rPr>
              <w:t>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2.</w:t>
            </w:r>
            <w:r>
              <w:rPr>
                <w:rFonts w:hint="default"/>
              </w:rPr>
              <w:t>あまりそう思わない</w:t>
            </w:r>
          </w:p>
        </w:tc>
        <w:tc>
          <w:tcPr>
            <w:tcW w:w="1418" w:type="dxa"/>
            <w:vAlign w:val="top"/>
          </w:tcPr>
          <w:p>
            <w:pPr>
              <w:pStyle w:val="0"/>
              <w:rPr>
                <w:rFonts w:hint="default"/>
              </w:rPr>
            </w:pPr>
            <w:r>
              <w:rPr>
                <w:rFonts w:hint="default"/>
              </w:rPr>
              <w:t>0</w:t>
            </w:r>
          </w:p>
        </w:tc>
      </w:tr>
      <w:tr>
        <w:trPr/>
        <w:tc>
          <w:tcPr>
            <w:tcW w:w="2405" w:type="dxa"/>
            <w:vAlign w:val="top"/>
          </w:tcPr>
          <w:p>
            <w:pPr>
              <w:pStyle w:val="0"/>
              <w:rPr>
                <w:rFonts w:hint="eastAsia"/>
              </w:rPr>
            </w:pPr>
            <w:r>
              <w:rPr>
                <w:rFonts w:hint="default"/>
              </w:rPr>
              <w:t>3.</w:t>
            </w:r>
            <w:r>
              <w:rPr>
                <w:rFonts w:hint="default"/>
              </w:rPr>
              <w:t>概ねそう思う</w:t>
            </w:r>
          </w:p>
        </w:tc>
        <w:tc>
          <w:tcPr>
            <w:tcW w:w="1418" w:type="dxa"/>
            <w:vAlign w:val="top"/>
          </w:tcPr>
          <w:p>
            <w:pPr>
              <w:pStyle w:val="0"/>
              <w:rPr>
                <w:rFonts w:hint="default"/>
              </w:rPr>
            </w:pPr>
            <w:r>
              <w:rPr>
                <w:rFonts w:hint="default"/>
              </w:rPr>
              <w:t>4</w:t>
            </w:r>
          </w:p>
        </w:tc>
      </w:tr>
      <w:tr>
        <w:trPr/>
        <w:tc>
          <w:tcPr>
            <w:tcW w:w="2405" w:type="dxa"/>
            <w:vAlign w:val="top"/>
          </w:tcPr>
          <w:p>
            <w:pPr>
              <w:pStyle w:val="0"/>
              <w:rPr>
                <w:rFonts w:hint="eastAsia"/>
              </w:rPr>
            </w:pPr>
            <w:r>
              <w:rPr>
                <w:rFonts w:hint="default"/>
              </w:rPr>
              <w:t>4.</w:t>
            </w:r>
            <w:r>
              <w:rPr>
                <w:rFonts w:hint="default"/>
              </w:rPr>
              <w:t>そう思う</w:t>
            </w:r>
          </w:p>
        </w:tc>
        <w:tc>
          <w:tcPr>
            <w:tcW w:w="1418" w:type="dxa"/>
            <w:vAlign w:val="top"/>
          </w:tcPr>
          <w:p>
            <w:pPr>
              <w:pStyle w:val="0"/>
              <w:rPr>
                <w:rFonts w:hint="default"/>
              </w:rPr>
            </w:pPr>
            <w:r>
              <w:rPr>
                <w:rFonts w:hint="default"/>
              </w:rPr>
              <w:t>1</w:t>
            </w:r>
          </w:p>
        </w:tc>
      </w:tr>
      <w:tr>
        <w:trPr/>
        <w:tc>
          <w:tcPr>
            <w:tcW w:w="2405" w:type="dxa"/>
            <w:vAlign w:val="top"/>
          </w:tcPr>
          <w:p>
            <w:pPr>
              <w:pStyle w:val="0"/>
              <w:rPr>
                <w:rFonts w:hint="default"/>
              </w:rPr>
            </w:pPr>
            <w:r>
              <w:rPr>
                <w:rFonts w:hint="eastAsia"/>
              </w:rPr>
              <w:t>無回答</w:t>
            </w:r>
          </w:p>
        </w:tc>
        <w:tc>
          <w:tcPr>
            <w:tcW w:w="1418" w:type="dxa"/>
            <w:vAlign w:val="top"/>
          </w:tcPr>
          <w:p>
            <w:pPr>
              <w:pStyle w:val="0"/>
              <w:rPr>
                <w:rFonts w:hint="default"/>
              </w:rPr>
            </w:pPr>
            <w:r>
              <w:rPr>
                <w:rFonts w:hint="default"/>
              </w:rPr>
              <w:t>2</w:t>
            </w:r>
          </w:p>
        </w:tc>
      </w:tr>
    </w:tbl>
    <w:p>
      <w:pPr>
        <w:pStyle w:val="0"/>
        <w:rPr>
          <w:rFonts w:hint="default"/>
        </w:rPr>
      </w:pPr>
      <w:r>
        <w:rPr>
          <w:rFonts w:hint="default"/>
        </w:rPr>
        <w:drawing>
          <wp:inline distT="0" distB="0" distL="0" distR="0">
            <wp:extent cx="3599815" cy="2267585"/>
            <wp:effectExtent l="0" t="0" r="0" b="0"/>
            <wp:docPr id="1050" name="オブジェクト 0"/>
            <a:graphic xmlns:a="http://schemas.openxmlformats.org/drawingml/2006/main">
              <a:graphicData uri="http://schemas.openxmlformats.org/drawingml/2006/chart">
                <c:chart xmlns:c="http://schemas.openxmlformats.org/drawingml/2006/chart" r:id="rId30"/>
              </a:graphicData>
            </a:graphic>
          </wp:inline>
        </w:drawing>
      </w:r>
    </w:p>
    <w:p>
      <w:pPr>
        <w:pStyle w:val="0"/>
        <w:rPr>
          <w:rFonts w:hint="eastAsia"/>
        </w:rPr>
      </w:pPr>
    </w:p>
    <w:sectPr>
      <w:footerReference r:id="rId6" w:type="default"/>
      <w:pgSz w:w="11906" w:h="16838"/>
      <w:pgMar w:top="1440" w:right="1080" w:bottom="1440" w:left="1080"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sdt>
    <w:sdtPr>
      <w:rPr>
        <w:rFonts w:hint="eastAsia"/>
      </w:rPr>
      <w:alias w:val=""/>
      <w:tag w:val=""/>
      <w:lock w:val="unlocked"/>
      <w:docPartObj>
        <w:docPartGallery w:val="Page Numbers (Bottom of Page)"/>
        <w:docPartUnique/>
      </w:docPartObj>
    </w:sdtPr>
    <w:sdtEndPr>
      <w:rPr>
        <w:rFonts w:hint="eastAsia"/>
      </w:rPr>
    </w:sdtEndPr>
    <w:sdtContent>
      <w:p>
        <w:pPr>
          <w:pStyle w:val="0"/>
          <w:jc w:val="center"/>
          <w:rPr>
            <w:rFonts w:hint="eastAsia"/>
          </w:rPr>
        </w:pPr>
        <w:r>
          <w:rPr>
            <w:rFonts w:hint="eastAsia"/>
          </w:rPr>
          <w:fldChar w:fldCharType="begin"/>
        </w:r>
        <w:r>
          <w:rPr>
            <w:rFonts w:hint="eastAsia"/>
          </w:rPr>
          <w:instrText xml:space="preserve">PAGE  \* MERGEFORMAT </w:instrText>
        </w:r>
        <w:r>
          <w:rPr>
            <w:rFonts w:hint="eastAsia"/>
          </w:rPr>
          <w:fldChar w:fldCharType="separate"/>
        </w:r>
        <w:r>
          <w:rPr>
            <w:rStyle w:val="37"/>
            <w:rFonts w:hint="eastAsia"/>
          </w:rPr>
          <w:t>1</w:t>
        </w:r>
        <w:r>
          <w:rPr>
            <w:rFonts w:hint="eastAsia"/>
          </w:rPr>
          <w:fldChar w:fldCharType="end"/>
        </w:r>
      </w:p>
    </w:sdtContent>
  </w:sdt>
  <w:p>
    <w:pPr>
      <w:pStyle w:val="0"/>
      <w:rPr>
        <w:rFonts w:hint="eastAsia"/>
      </w:rPr>
    </w:pPr>
  </w:p>
</w:ftr>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42F2C99A"/>
    <w:lvl w:ilvl="0" w:tplc="5B74DF46">
      <w:start w:val="1"/>
      <w:numFmt w:val="decimalEnclosedCircle"/>
      <w:lvlText w:val="%1"/>
      <w:lvlJc w:val="left"/>
      <w:pPr>
        <w:ind w:left="360" w:hanging="36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start w:val="1"/>
      <w:numFmt w:val="decimal"/>
      <w:lvlText w:val="%4."/>
      <w:lvlJc w:val="left"/>
      <w:pPr>
        <w:ind w:left="1760" w:hanging="440"/>
      </w:pPr>
    </w:lvl>
    <w:lvl w:ilvl="4" w:tplc="04090017">
      <w:start w:val="1"/>
      <w:numFmt w:val="aiueoFullWidth"/>
      <w:lvlText w:val="(%5)"/>
      <w:lvlJc w:val="left"/>
      <w:pPr>
        <w:ind w:left="2200" w:hanging="440"/>
      </w:pPr>
    </w:lvl>
    <w:lvl w:ilvl="5" w:tplc="04090011">
      <w:start w:val="1"/>
      <w:numFmt w:val="decimalEnclosedCircle"/>
      <w:lvlText w:val="%6"/>
      <w:lvlJc w:val="left"/>
      <w:pPr>
        <w:ind w:left="2640" w:hanging="440"/>
      </w:pPr>
    </w:lvl>
    <w:lvl w:ilvl="6" w:tplc="0409000F">
      <w:start w:val="1"/>
      <w:numFmt w:val="decimal"/>
      <w:lvlText w:val="%7."/>
      <w:lvlJc w:val="left"/>
      <w:pPr>
        <w:ind w:left="3080" w:hanging="440"/>
      </w:pPr>
    </w:lvl>
    <w:lvl w:ilvl="7" w:tplc="04090017">
      <w:start w:val="1"/>
      <w:numFmt w:val="aiueoFullWidth"/>
      <w:lvlText w:val="(%8)"/>
      <w:lvlJc w:val="left"/>
      <w:pPr>
        <w:ind w:left="3520" w:hanging="440"/>
      </w:pPr>
    </w:lvl>
    <w:lvl w:ilvl="8" w:tplc="04090011">
      <w:start w:val="1"/>
      <w:numFmt w:val="decimalEnclosedCircle"/>
      <w:lvlText w:val="%9"/>
      <w:lvlJc w:val="left"/>
      <w:pPr>
        <w:ind w:left="3960" w:hanging="440"/>
      </w:pPr>
    </w:lvl>
  </w:abstractNum>
  <w:abstractNum w:abstractNumId="1">
    <w:nsid w:val="00000002"/>
    <w:multiLevelType w:val="hybridMultilevel"/>
    <w:tmpl w:val="A9546CD0"/>
    <w:lvl w:ilvl="0" w:tplc="DFD23EE0">
      <w:start w:val="1"/>
      <w:numFmt w:val="decimalEnclosedCircle"/>
      <w:lvlText w:val="%1"/>
      <w:lvlJc w:val="left"/>
      <w:pPr>
        <w:ind w:left="360" w:hanging="36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start w:val="1"/>
      <w:numFmt w:val="decimal"/>
      <w:lvlText w:val="%4."/>
      <w:lvlJc w:val="left"/>
      <w:pPr>
        <w:ind w:left="1760" w:hanging="440"/>
      </w:pPr>
    </w:lvl>
    <w:lvl w:ilvl="4" w:tplc="04090017">
      <w:start w:val="1"/>
      <w:numFmt w:val="aiueoFullWidth"/>
      <w:lvlText w:val="(%5)"/>
      <w:lvlJc w:val="left"/>
      <w:pPr>
        <w:ind w:left="2200" w:hanging="440"/>
      </w:pPr>
    </w:lvl>
    <w:lvl w:ilvl="5" w:tplc="04090011">
      <w:start w:val="1"/>
      <w:numFmt w:val="decimalEnclosedCircle"/>
      <w:lvlText w:val="%6"/>
      <w:lvlJc w:val="left"/>
      <w:pPr>
        <w:ind w:left="2640" w:hanging="440"/>
      </w:pPr>
    </w:lvl>
    <w:lvl w:ilvl="6" w:tplc="0409000F">
      <w:start w:val="1"/>
      <w:numFmt w:val="decimal"/>
      <w:lvlText w:val="%7."/>
      <w:lvlJc w:val="left"/>
      <w:pPr>
        <w:ind w:left="3080" w:hanging="440"/>
      </w:pPr>
    </w:lvl>
    <w:lvl w:ilvl="7" w:tplc="04090017">
      <w:start w:val="1"/>
      <w:numFmt w:val="aiueoFullWidth"/>
      <w:lvlText w:val="(%8)"/>
      <w:lvlJc w:val="left"/>
      <w:pPr>
        <w:ind w:left="3520" w:hanging="440"/>
      </w:pPr>
    </w:lvl>
    <w:lvl w:ilvl="8" w:tplc="04090011">
      <w:start w:val="1"/>
      <w:numFmt w:val="decimalEnclosedCircle"/>
      <w:lvlText w:val="%9"/>
      <w:lvlJc w:val="left"/>
      <w:pPr>
        <w:ind w:left="3960" w:hanging="440"/>
      </w:pPr>
    </w:lvl>
  </w:abstractNum>
  <w:abstractNum w:abstractNumId="2">
    <w:nsid w:val="00000003"/>
    <w:multiLevelType w:val="hybridMultilevel"/>
    <w:tmpl w:val="BD8A0C8E"/>
    <w:lvl w:ilvl="0" w:tplc="59685A76">
      <w:start w:val="1"/>
      <w:numFmt w:val="decimalEnclosedCircle"/>
      <w:lvlText w:val="%1"/>
      <w:lvlJc w:val="left"/>
      <w:pPr>
        <w:ind w:left="360" w:hanging="36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start w:val="1"/>
      <w:numFmt w:val="decimal"/>
      <w:lvlText w:val="%4."/>
      <w:lvlJc w:val="left"/>
      <w:pPr>
        <w:ind w:left="1760" w:hanging="440"/>
      </w:pPr>
    </w:lvl>
    <w:lvl w:ilvl="4" w:tplc="04090017">
      <w:start w:val="1"/>
      <w:numFmt w:val="aiueoFullWidth"/>
      <w:lvlText w:val="(%5)"/>
      <w:lvlJc w:val="left"/>
      <w:pPr>
        <w:ind w:left="2200" w:hanging="440"/>
      </w:pPr>
    </w:lvl>
    <w:lvl w:ilvl="5" w:tplc="04090011">
      <w:start w:val="1"/>
      <w:numFmt w:val="decimalEnclosedCircle"/>
      <w:lvlText w:val="%6"/>
      <w:lvlJc w:val="left"/>
      <w:pPr>
        <w:ind w:left="2640" w:hanging="440"/>
      </w:pPr>
    </w:lvl>
    <w:lvl w:ilvl="6" w:tplc="0409000F">
      <w:start w:val="1"/>
      <w:numFmt w:val="decimal"/>
      <w:lvlText w:val="%7."/>
      <w:lvlJc w:val="left"/>
      <w:pPr>
        <w:ind w:left="3080" w:hanging="440"/>
      </w:pPr>
    </w:lvl>
    <w:lvl w:ilvl="7" w:tplc="04090017">
      <w:start w:val="1"/>
      <w:numFmt w:val="aiueoFullWidth"/>
      <w:lvlText w:val="(%8)"/>
      <w:lvlJc w:val="left"/>
      <w:pPr>
        <w:ind w:left="3520" w:hanging="440"/>
      </w:pPr>
    </w:lvl>
    <w:lvl w:ilvl="8" w:tplc="04090011">
      <w:start w:val="1"/>
      <w:numFmt w:val="decimalEnclosedCircle"/>
      <w:lvlText w:val="%9"/>
      <w:lvlJc w:val="left"/>
      <w:pPr>
        <w:ind w:left="3960" w:hanging="440"/>
      </w:pPr>
    </w:lvl>
  </w:abstractNum>
  <w:abstractNum w:abstractNumId="3">
    <w:nsid w:val="00000004"/>
    <w:multiLevelType w:val="hybridMultilevel"/>
    <w:tmpl w:val="8DDA75A0"/>
    <w:lvl w:ilvl="0" w:tplc="E7CAB6B4">
      <w:start w:val="1"/>
      <w:numFmt w:val="decimalEnclosedCircle"/>
      <w:lvlText w:val="%1"/>
      <w:lvlJc w:val="left"/>
      <w:pPr>
        <w:ind w:left="360" w:hanging="36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start w:val="1"/>
      <w:numFmt w:val="decimal"/>
      <w:lvlText w:val="%4."/>
      <w:lvlJc w:val="left"/>
      <w:pPr>
        <w:ind w:left="1760" w:hanging="440"/>
      </w:pPr>
    </w:lvl>
    <w:lvl w:ilvl="4" w:tplc="04090017">
      <w:start w:val="1"/>
      <w:numFmt w:val="aiueoFullWidth"/>
      <w:lvlText w:val="(%5)"/>
      <w:lvlJc w:val="left"/>
      <w:pPr>
        <w:ind w:left="2200" w:hanging="440"/>
      </w:pPr>
    </w:lvl>
    <w:lvl w:ilvl="5" w:tplc="04090011">
      <w:start w:val="1"/>
      <w:numFmt w:val="decimalEnclosedCircle"/>
      <w:lvlText w:val="%6"/>
      <w:lvlJc w:val="left"/>
      <w:pPr>
        <w:ind w:left="2640" w:hanging="440"/>
      </w:pPr>
    </w:lvl>
    <w:lvl w:ilvl="6" w:tplc="0409000F">
      <w:start w:val="1"/>
      <w:numFmt w:val="decimal"/>
      <w:lvlText w:val="%7."/>
      <w:lvlJc w:val="left"/>
      <w:pPr>
        <w:ind w:left="3080" w:hanging="440"/>
      </w:pPr>
    </w:lvl>
    <w:lvl w:ilvl="7" w:tplc="04090017">
      <w:start w:val="1"/>
      <w:numFmt w:val="aiueoFullWidth"/>
      <w:lvlText w:val="(%8)"/>
      <w:lvlJc w:val="left"/>
      <w:pPr>
        <w:ind w:left="3520" w:hanging="440"/>
      </w:pPr>
    </w:lvl>
    <w:lvl w:ilvl="8" w:tplc="04090011">
      <w:start w:val="1"/>
      <w:numFmt w:val="decimalEnclosedCircle"/>
      <w:lvlText w:val="%9"/>
      <w:lvlJc w:val="left"/>
      <w:pPr>
        <w:ind w:left="3960" w:hanging="440"/>
      </w:pPr>
    </w:lvl>
  </w:abstractNum>
  <w:abstractNum w:abstractNumId="4">
    <w:nsid w:val="00000005"/>
    <w:multiLevelType w:val="hybridMultilevel"/>
    <w:tmpl w:val="012C3B90"/>
    <w:lvl w:ilvl="0" w:tplc="643A6D5C">
      <w:start w:val="1"/>
      <w:numFmt w:val="decimalEnclosedCircle"/>
      <w:lvlText w:val="%1"/>
      <w:lvlJc w:val="left"/>
      <w:pPr>
        <w:ind w:left="360" w:hanging="36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start w:val="1"/>
      <w:numFmt w:val="decimal"/>
      <w:lvlText w:val="%4."/>
      <w:lvlJc w:val="left"/>
      <w:pPr>
        <w:ind w:left="1760" w:hanging="440"/>
      </w:pPr>
    </w:lvl>
    <w:lvl w:ilvl="4" w:tplc="04090017">
      <w:start w:val="1"/>
      <w:numFmt w:val="aiueoFullWidth"/>
      <w:lvlText w:val="(%5)"/>
      <w:lvlJc w:val="left"/>
      <w:pPr>
        <w:ind w:left="2200" w:hanging="440"/>
      </w:pPr>
    </w:lvl>
    <w:lvl w:ilvl="5" w:tplc="04090011">
      <w:start w:val="1"/>
      <w:numFmt w:val="decimalEnclosedCircle"/>
      <w:lvlText w:val="%6"/>
      <w:lvlJc w:val="left"/>
      <w:pPr>
        <w:ind w:left="2640" w:hanging="440"/>
      </w:pPr>
    </w:lvl>
    <w:lvl w:ilvl="6" w:tplc="0409000F">
      <w:start w:val="1"/>
      <w:numFmt w:val="decimal"/>
      <w:lvlText w:val="%7."/>
      <w:lvlJc w:val="left"/>
      <w:pPr>
        <w:ind w:left="3080" w:hanging="440"/>
      </w:pPr>
    </w:lvl>
    <w:lvl w:ilvl="7" w:tplc="04090017">
      <w:start w:val="1"/>
      <w:numFmt w:val="aiueoFullWidth"/>
      <w:lvlText w:val="(%8)"/>
      <w:lvlJc w:val="left"/>
      <w:pPr>
        <w:ind w:left="3520" w:hanging="440"/>
      </w:pPr>
    </w:lvl>
    <w:lvl w:ilvl="8" w:tplc="04090011">
      <w:start w:val="1"/>
      <w:numFmt w:val="decimalEnclosedCircle"/>
      <w:lvlText w:val="%9"/>
      <w:lvlJc w:val="left"/>
      <w:pPr>
        <w:ind w:left="3960" w:hanging="440"/>
      </w:pPr>
    </w:lvl>
  </w:abstractNum>
  <w:abstractNum w:abstractNumId="5">
    <w:nsid w:val="00000006"/>
    <w:multiLevelType w:val="hybridMultilevel"/>
    <w:tmpl w:val="F2460778"/>
    <w:lvl w:ilvl="0" w:tplc="423A4148">
      <w:start w:val="1"/>
      <w:numFmt w:val="decimalEnclosedCircle"/>
      <w:lvlText w:val="%1"/>
      <w:lvlJc w:val="left"/>
      <w:pPr>
        <w:ind w:left="360" w:hanging="36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start w:val="1"/>
      <w:numFmt w:val="decimal"/>
      <w:lvlText w:val="%4."/>
      <w:lvlJc w:val="left"/>
      <w:pPr>
        <w:ind w:left="1760" w:hanging="440"/>
      </w:pPr>
    </w:lvl>
    <w:lvl w:ilvl="4" w:tplc="04090017">
      <w:start w:val="1"/>
      <w:numFmt w:val="aiueoFullWidth"/>
      <w:lvlText w:val="(%5)"/>
      <w:lvlJc w:val="left"/>
      <w:pPr>
        <w:ind w:left="2200" w:hanging="440"/>
      </w:pPr>
    </w:lvl>
    <w:lvl w:ilvl="5" w:tplc="04090011">
      <w:start w:val="1"/>
      <w:numFmt w:val="decimalEnclosedCircle"/>
      <w:lvlText w:val="%6"/>
      <w:lvlJc w:val="left"/>
      <w:pPr>
        <w:ind w:left="2640" w:hanging="440"/>
      </w:pPr>
    </w:lvl>
    <w:lvl w:ilvl="6" w:tplc="0409000F">
      <w:start w:val="1"/>
      <w:numFmt w:val="decimal"/>
      <w:lvlText w:val="%7."/>
      <w:lvlJc w:val="left"/>
      <w:pPr>
        <w:ind w:left="3080" w:hanging="440"/>
      </w:pPr>
    </w:lvl>
    <w:lvl w:ilvl="7" w:tplc="04090017">
      <w:start w:val="1"/>
      <w:numFmt w:val="aiueoFullWidth"/>
      <w:lvlText w:val="(%8)"/>
      <w:lvlJc w:val="left"/>
      <w:pPr>
        <w:ind w:left="3520" w:hanging="440"/>
      </w:pPr>
    </w:lvl>
    <w:lvl w:ilvl="8" w:tplc="04090011">
      <w:start w:val="1"/>
      <w:numFmt w:val="decimalEnclosedCircle"/>
      <w:lvlText w:val="%9"/>
      <w:lvlJc w:val="left"/>
      <w:pPr>
        <w:ind w:left="3960" w:hanging="440"/>
      </w:pPr>
    </w:lvl>
  </w:abstractNum>
  <w:abstractNum w:abstractNumId="6">
    <w:nsid w:val="00000007"/>
    <w:multiLevelType w:val="hybridMultilevel"/>
    <w:tmpl w:val="926E06DA"/>
    <w:lvl w:ilvl="0" w:tplc="26B2DC9A">
      <w:start w:val="1"/>
      <w:numFmt w:val="decimalEnclosedCircle"/>
      <w:lvlText w:val="%1"/>
      <w:lvlJc w:val="left"/>
      <w:pPr>
        <w:ind w:left="360" w:hanging="36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start w:val="1"/>
      <w:numFmt w:val="decimal"/>
      <w:lvlText w:val="%4."/>
      <w:lvlJc w:val="left"/>
      <w:pPr>
        <w:ind w:left="1760" w:hanging="440"/>
      </w:pPr>
    </w:lvl>
    <w:lvl w:ilvl="4" w:tplc="04090017">
      <w:start w:val="1"/>
      <w:numFmt w:val="aiueoFullWidth"/>
      <w:lvlText w:val="(%5)"/>
      <w:lvlJc w:val="left"/>
      <w:pPr>
        <w:ind w:left="2200" w:hanging="440"/>
      </w:pPr>
    </w:lvl>
    <w:lvl w:ilvl="5" w:tplc="04090011">
      <w:start w:val="1"/>
      <w:numFmt w:val="decimalEnclosedCircle"/>
      <w:lvlText w:val="%6"/>
      <w:lvlJc w:val="left"/>
      <w:pPr>
        <w:ind w:left="2640" w:hanging="440"/>
      </w:pPr>
    </w:lvl>
    <w:lvl w:ilvl="6" w:tplc="0409000F">
      <w:start w:val="1"/>
      <w:numFmt w:val="decimal"/>
      <w:lvlText w:val="%7."/>
      <w:lvlJc w:val="left"/>
      <w:pPr>
        <w:ind w:left="3080" w:hanging="440"/>
      </w:pPr>
    </w:lvl>
    <w:lvl w:ilvl="7" w:tplc="04090017">
      <w:start w:val="1"/>
      <w:numFmt w:val="aiueoFullWidth"/>
      <w:lvlText w:val="(%8)"/>
      <w:lvlJc w:val="left"/>
      <w:pPr>
        <w:ind w:left="3520" w:hanging="440"/>
      </w:pPr>
    </w:lvl>
    <w:lvl w:ilvl="8" w:tplc="04090011">
      <w:start w:val="1"/>
      <w:numFmt w:val="decimalEnclosedCircle"/>
      <w:lvlText w:val="%9"/>
      <w:lvlJc w:val="left"/>
      <w:pPr>
        <w:ind w:left="3960" w:hanging="440"/>
      </w:pPr>
    </w:lvl>
  </w:abstractNum>
  <w:abstractNum w:abstractNumId="7">
    <w:nsid w:val="00000008"/>
    <w:multiLevelType w:val="hybridMultilevel"/>
    <w:tmpl w:val="F29ABEE2"/>
    <w:lvl w:ilvl="0" w:tplc="82126F86">
      <w:start w:val="1"/>
      <w:numFmt w:val="decimalEnclosedCircle"/>
      <w:lvlText w:val="%1"/>
      <w:lvlJc w:val="left"/>
      <w:pPr>
        <w:ind w:left="360" w:hanging="36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start w:val="1"/>
      <w:numFmt w:val="decimal"/>
      <w:lvlText w:val="%4."/>
      <w:lvlJc w:val="left"/>
      <w:pPr>
        <w:ind w:left="1760" w:hanging="440"/>
      </w:pPr>
    </w:lvl>
    <w:lvl w:ilvl="4" w:tplc="04090017">
      <w:start w:val="1"/>
      <w:numFmt w:val="aiueoFullWidth"/>
      <w:lvlText w:val="(%5)"/>
      <w:lvlJc w:val="left"/>
      <w:pPr>
        <w:ind w:left="2200" w:hanging="440"/>
      </w:pPr>
    </w:lvl>
    <w:lvl w:ilvl="5" w:tplc="04090011">
      <w:start w:val="1"/>
      <w:numFmt w:val="decimalEnclosedCircle"/>
      <w:lvlText w:val="%6"/>
      <w:lvlJc w:val="left"/>
      <w:pPr>
        <w:ind w:left="2640" w:hanging="440"/>
      </w:pPr>
    </w:lvl>
    <w:lvl w:ilvl="6" w:tplc="0409000F">
      <w:start w:val="1"/>
      <w:numFmt w:val="decimal"/>
      <w:lvlText w:val="%7."/>
      <w:lvlJc w:val="left"/>
      <w:pPr>
        <w:ind w:left="3080" w:hanging="440"/>
      </w:pPr>
    </w:lvl>
    <w:lvl w:ilvl="7" w:tplc="04090017">
      <w:start w:val="1"/>
      <w:numFmt w:val="aiueoFullWidth"/>
      <w:lvlText w:val="(%8)"/>
      <w:lvlJc w:val="left"/>
      <w:pPr>
        <w:ind w:left="3520" w:hanging="440"/>
      </w:pPr>
    </w:lvl>
    <w:lvl w:ilvl="8" w:tplc="04090011">
      <w:start w:val="1"/>
      <w:numFmt w:val="decimalEnclosedCircle"/>
      <w:lvlText w:val="%9"/>
      <w:lvlJc w:val="left"/>
      <w:pPr>
        <w:ind w:left="3960" w:hanging="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rPr/>
  </w:style>
  <w:style w:type="paragraph" w:styleId="1">
    <w:name w:val="heading 1"/>
    <w:basedOn w:val="0"/>
    <w:next w:val="0"/>
    <w:link w:val="15"/>
    <w:uiPriority w:val="0"/>
    <w:qFormat/>
    <w:pPr>
      <w:keepNext w:val="1"/>
      <w:keepLines w:val="1"/>
      <w:spacing w:before="280" w:beforeLines="0" w:beforeAutospacing="0" w:after="80" w:afterLines="0" w:afterAutospacing="0"/>
      <w:outlineLvl w:val="0"/>
    </w:pPr>
    <w:rPr>
      <w:rFonts w:asciiTheme="majorHAnsi" w:hAnsiTheme="majorHAnsi" w:eastAsiaTheme="majorEastAsia"/>
      <w:color w:val="000000" w:themeColor="text1"/>
      <w:sz w:val="32"/>
    </w:rPr>
  </w:style>
  <w:style w:type="paragraph" w:styleId="2">
    <w:name w:val="heading 2"/>
    <w:basedOn w:val="0"/>
    <w:next w:val="0"/>
    <w:link w:val="16"/>
    <w:uiPriority w:val="0"/>
    <w:qFormat/>
    <w:pPr>
      <w:keepNext w:val="1"/>
      <w:keepLines w:val="1"/>
      <w:spacing w:before="160" w:beforeLines="0" w:beforeAutospacing="0" w:after="80" w:afterLines="0" w:afterAutospacing="0"/>
      <w:outlineLvl w:val="1"/>
    </w:pPr>
    <w:rPr>
      <w:rFonts w:asciiTheme="majorHAnsi" w:hAnsiTheme="majorHAnsi" w:eastAsiaTheme="majorEastAsia"/>
      <w:color w:val="000000" w:themeColor="text1"/>
      <w:sz w:val="28"/>
    </w:rPr>
  </w:style>
  <w:style w:type="paragraph" w:styleId="3">
    <w:name w:val="heading 3"/>
    <w:basedOn w:val="0"/>
    <w:next w:val="0"/>
    <w:link w:val="17"/>
    <w:uiPriority w:val="0"/>
    <w:qFormat/>
    <w:pPr>
      <w:keepNext w:val="1"/>
      <w:keepLines w:val="1"/>
      <w:spacing w:before="160" w:beforeLines="0" w:beforeAutospacing="0" w:after="80" w:afterLines="0" w:afterAutospacing="0"/>
      <w:outlineLvl w:val="2"/>
    </w:pPr>
    <w:rPr>
      <w:rFonts w:asciiTheme="majorHAnsi" w:hAnsiTheme="majorHAnsi" w:eastAsiaTheme="majorEastAsia"/>
      <w:color w:val="000000" w:themeColor="text1"/>
      <w:sz w:val="24"/>
    </w:rPr>
  </w:style>
  <w:style w:type="paragraph" w:styleId="4">
    <w:name w:val="heading 4"/>
    <w:basedOn w:val="0"/>
    <w:next w:val="0"/>
    <w:link w:val="18"/>
    <w:uiPriority w:val="0"/>
    <w:qFormat/>
    <w:pPr>
      <w:keepNext w:val="1"/>
      <w:keepLines w:val="1"/>
      <w:spacing w:before="80" w:beforeLines="0" w:beforeAutospacing="0" w:after="40" w:afterLines="0" w:afterAutospacing="0"/>
      <w:outlineLvl w:val="3"/>
    </w:pPr>
    <w:rPr>
      <w:rFonts w:asciiTheme="majorHAnsi" w:hAnsiTheme="majorHAnsi" w:eastAsiaTheme="majorEastAsia"/>
      <w:color w:val="000000" w:themeColor="text1"/>
    </w:rPr>
  </w:style>
  <w:style w:type="paragraph" w:styleId="5">
    <w:name w:val="heading 5"/>
    <w:basedOn w:val="0"/>
    <w:next w:val="0"/>
    <w:link w:val="19"/>
    <w:uiPriority w:val="0"/>
    <w:qFormat/>
    <w:pPr>
      <w:keepNext w:val="1"/>
      <w:keepLines w:val="1"/>
      <w:spacing w:before="80" w:beforeLines="0" w:beforeAutospacing="0" w:after="40" w:afterLines="0" w:afterAutospacing="0"/>
      <w:ind w:left="100" w:leftChars="100"/>
      <w:outlineLvl w:val="4"/>
    </w:pPr>
    <w:rPr>
      <w:rFonts w:asciiTheme="majorHAnsi" w:hAnsiTheme="majorHAnsi" w:eastAsiaTheme="majorEastAsia"/>
      <w:color w:val="000000" w:themeColor="text1"/>
    </w:rPr>
  </w:style>
  <w:style w:type="paragraph" w:styleId="6">
    <w:name w:val="heading 6"/>
    <w:basedOn w:val="0"/>
    <w:next w:val="0"/>
    <w:link w:val="20"/>
    <w:uiPriority w:val="0"/>
    <w:qFormat/>
    <w:pPr>
      <w:keepNext w:val="1"/>
      <w:keepLines w:val="1"/>
      <w:spacing w:before="80" w:beforeLines="0" w:beforeAutospacing="0" w:after="40" w:afterLines="0" w:afterAutospacing="0"/>
      <w:ind w:left="200" w:leftChars="200"/>
      <w:outlineLvl w:val="5"/>
    </w:pPr>
    <w:rPr>
      <w:rFonts w:asciiTheme="majorHAnsi" w:hAnsiTheme="majorHAnsi" w:eastAsiaTheme="majorEastAsia"/>
      <w:color w:val="000000" w:themeColor="text1"/>
    </w:rPr>
  </w:style>
  <w:style w:type="paragraph" w:styleId="7">
    <w:name w:val="heading 7"/>
    <w:basedOn w:val="0"/>
    <w:next w:val="0"/>
    <w:link w:val="21"/>
    <w:uiPriority w:val="0"/>
    <w:qFormat/>
    <w:pPr>
      <w:keepNext w:val="1"/>
      <w:keepLines w:val="1"/>
      <w:spacing w:before="80" w:beforeLines="0" w:beforeAutospacing="0" w:after="40" w:afterLines="0" w:afterAutospacing="0"/>
      <w:ind w:left="300" w:leftChars="300"/>
      <w:outlineLvl w:val="6"/>
    </w:pPr>
    <w:rPr>
      <w:rFonts w:asciiTheme="majorHAnsi" w:hAnsiTheme="majorHAnsi" w:eastAsiaTheme="majorEastAsia"/>
      <w:color w:val="000000" w:themeColor="text1"/>
    </w:rPr>
  </w:style>
  <w:style w:type="paragraph" w:styleId="8">
    <w:name w:val="heading 8"/>
    <w:basedOn w:val="0"/>
    <w:next w:val="0"/>
    <w:link w:val="22"/>
    <w:uiPriority w:val="0"/>
    <w:qFormat/>
    <w:pPr>
      <w:keepNext w:val="1"/>
      <w:keepLines w:val="1"/>
      <w:spacing w:before="80" w:beforeLines="0" w:beforeAutospacing="0" w:after="40" w:afterLines="0" w:afterAutospacing="0"/>
      <w:ind w:left="400" w:leftChars="400"/>
      <w:outlineLvl w:val="7"/>
    </w:pPr>
    <w:rPr>
      <w:rFonts w:asciiTheme="majorHAnsi" w:hAnsiTheme="majorHAnsi" w:eastAsiaTheme="majorEastAsia"/>
      <w:color w:val="000000" w:themeColor="text1"/>
    </w:rPr>
  </w:style>
  <w:style w:type="paragraph" w:styleId="9">
    <w:name w:val="heading 9"/>
    <w:basedOn w:val="0"/>
    <w:next w:val="0"/>
    <w:link w:val="23"/>
    <w:uiPriority w:val="0"/>
    <w:qFormat/>
    <w:pPr>
      <w:keepNext w:val="1"/>
      <w:keepLines w:val="1"/>
      <w:spacing w:before="80" w:beforeLines="0" w:beforeAutospacing="0" w:after="40" w:afterLines="0" w:afterAutospacing="0"/>
      <w:ind w:left="500" w:leftChars="500"/>
      <w:outlineLvl w:val="8"/>
    </w:pPr>
    <w:rPr>
      <w:rFonts w:asciiTheme="majorHAnsi" w:hAnsiTheme="majorHAnsi" w:eastAsiaTheme="majorEastAsia"/>
      <w:color w:val="000000" w:themeColor="text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見出し 1 (文字)"/>
    <w:basedOn w:val="10"/>
    <w:next w:val="15"/>
    <w:link w:val="1"/>
    <w:uiPriority w:val="0"/>
    <w:rPr>
      <w:rFonts w:asciiTheme="majorHAnsi" w:hAnsiTheme="majorHAnsi" w:eastAsiaTheme="majorEastAsia"/>
      <w:color w:val="000000" w:themeColor="text1"/>
      <w:sz w:val="32"/>
    </w:rPr>
  </w:style>
  <w:style w:type="character" w:styleId="16" w:customStyle="1">
    <w:name w:val="見出し 2 (文字)"/>
    <w:basedOn w:val="10"/>
    <w:next w:val="16"/>
    <w:link w:val="2"/>
    <w:uiPriority w:val="0"/>
    <w:rPr>
      <w:rFonts w:asciiTheme="majorHAnsi" w:hAnsiTheme="majorHAnsi" w:eastAsiaTheme="majorEastAsia"/>
      <w:color w:val="000000" w:themeColor="text1"/>
      <w:sz w:val="28"/>
    </w:rPr>
  </w:style>
  <w:style w:type="character" w:styleId="17" w:customStyle="1">
    <w:name w:val="見出し 3 (文字)"/>
    <w:basedOn w:val="10"/>
    <w:next w:val="17"/>
    <w:link w:val="3"/>
    <w:uiPriority w:val="0"/>
    <w:rPr>
      <w:rFonts w:asciiTheme="majorHAnsi" w:hAnsiTheme="majorHAnsi" w:eastAsiaTheme="majorEastAsia"/>
      <w:color w:val="000000" w:themeColor="text1"/>
      <w:sz w:val="24"/>
    </w:rPr>
  </w:style>
  <w:style w:type="character" w:styleId="18" w:customStyle="1">
    <w:name w:val="見出し 4 (文字)"/>
    <w:basedOn w:val="10"/>
    <w:next w:val="18"/>
    <w:link w:val="4"/>
    <w:uiPriority w:val="0"/>
    <w:rPr>
      <w:rFonts w:asciiTheme="majorHAnsi" w:hAnsiTheme="majorHAnsi" w:eastAsiaTheme="majorEastAsia"/>
      <w:color w:val="000000" w:themeColor="text1"/>
    </w:rPr>
  </w:style>
  <w:style w:type="character" w:styleId="19" w:customStyle="1">
    <w:name w:val="見出し 5 (文字)"/>
    <w:basedOn w:val="10"/>
    <w:next w:val="19"/>
    <w:link w:val="5"/>
    <w:uiPriority w:val="0"/>
    <w:rPr>
      <w:rFonts w:asciiTheme="majorHAnsi" w:hAnsiTheme="majorHAnsi" w:eastAsiaTheme="majorEastAsia"/>
      <w:color w:val="000000" w:themeColor="text1"/>
    </w:rPr>
  </w:style>
  <w:style w:type="character" w:styleId="20" w:customStyle="1">
    <w:name w:val="見出し 6 (文字)"/>
    <w:basedOn w:val="10"/>
    <w:next w:val="20"/>
    <w:link w:val="6"/>
    <w:uiPriority w:val="0"/>
    <w:rPr>
      <w:rFonts w:asciiTheme="majorHAnsi" w:hAnsiTheme="majorHAnsi" w:eastAsiaTheme="majorEastAsia"/>
      <w:color w:val="000000" w:themeColor="text1"/>
    </w:rPr>
  </w:style>
  <w:style w:type="character" w:styleId="21" w:customStyle="1">
    <w:name w:val="見出し 7 (文字)"/>
    <w:basedOn w:val="10"/>
    <w:next w:val="21"/>
    <w:link w:val="7"/>
    <w:uiPriority w:val="0"/>
    <w:rPr>
      <w:rFonts w:asciiTheme="majorHAnsi" w:hAnsiTheme="majorHAnsi" w:eastAsiaTheme="majorEastAsia"/>
      <w:color w:val="000000" w:themeColor="text1"/>
    </w:rPr>
  </w:style>
  <w:style w:type="character" w:styleId="22" w:customStyle="1">
    <w:name w:val="見出し 8 (文字)"/>
    <w:basedOn w:val="10"/>
    <w:next w:val="22"/>
    <w:link w:val="8"/>
    <w:uiPriority w:val="0"/>
    <w:rPr>
      <w:rFonts w:asciiTheme="majorHAnsi" w:hAnsiTheme="majorHAnsi" w:eastAsiaTheme="majorEastAsia"/>
      <w:color w:val="000000" w:themeColor="text1"/>
    </w:rPr>
  </w:style>
  <w:style w:type="character" w:styleId="23" w:customStyle="1">
    <w:name w:val="見出し 9 (文字)"/>
    <w:basedOn w:val="10"/>
    <w:next w:val="23"/>
    <w:link w:val="9"/>
    <w:uiPriority w:val="0"/>
    <w:rPr>
      <w:rFonts w:asciiTheme="majorHAnsi" w:hAnsiTheme="majorHAnsi" w:eastAsiaTheme="majorEastAsia"/>
      <w:color w:val="000000" w:themeColor="text1"/>
    </w:rPr>
  </w:style>
  <w:style w:type="paragraph" w:styleId="24">
    <w:name w:val="Title"/>
    <w:basedOn w:val="0"/>
    <w:next w:val="0"/>
    <w:link w:val="25"/>
    <w:uiPriority w:val="0"/>
    <w:qFormat/>
    <w:pPr>
      <w:spacing w:after="80" w:afterLines="0" w:afterAutospacing="0"/>
      <w:contextualSpacing w:val="1"/>
      <w:jc w:val="center"/>
    </w:pPr>
    <w:rPr>
      <w:rFonts w:asciiTheme="majorHAnsi" w:hAnsiTheme="majorHAnsi" w:eastAsiaTheme="majorEastAsia"/>
      <w:spacing w:val="-10"/>
      <w:kern w:val="28"/>
      <w:sz w:val="56"/>
    </w:rPr>
  </w:style>
  <w:style w:type="character" w:styleId="25" w:customStyle="1">
    <w:name w:val="表題 (文字)"/>
    <w:basedOn w:val="10"/>
    <w:next w:val="25"/>
    <w:link w:val="24"/>
    <w:uiPriority w:val="0"/>
    <w:rPr>
      <w:rFonts w:asciiTheme="majorHAnsi" w:hAnsiTheme="majorHAnsi" w:eastAsiaTheme="majorEastAsia"/>
      <w:spacing w:val="-10"/>
      <w:kern w:val="28"/>
      <w:sz w:val="56"/>
    </w:rPr>
  </w:style>
  <w:style w:type="paragraph" w:styleId="26">
    <w:name w:val="Subtitle"/>
    <w:basedOn w:val="0"/>
    <w:next w:val="0"/>
    <w:link w:val="27"/>
    <w:uiPriority w:val="0"/>
    <w:qFormat/>
    <w:pPr>
      <w:spacing w:after="160" w:afterLines="0" w:afterAutospacing="0"/>
      <w:jc w:val="center"/>
    </w:pPr>
    <w:rPr>
      <w:rFonts w:asciiTheme="majorHAnsi" w:hAnsiTheme="majorHAnsi" w:eastAsiaTheme="majorEastAsia"/>
      <w:color w:val="595959" w:themeColor="text1" w:themeTint="A6"/>
      <w:spacing w:val="15"/>
      <w:sz w:val="28"/>
    </w:rPr>
  </w:style>
  <w:style w:type="character" w:styleId="27" w:customStyle="1">
    <w:name w:val="副題 (文字)"/>
    <w:basedOn w:val="10"/>
    <w:next w:val="27"/>
    <w:link w:val="26"/>
    <w:uiPriority w:val="0"/>
    <w:rPr>
      <w:rFonts w:asciiTheme="majorHAnsi" w:hAnsiTheme="majorHAnsi" w:eastAsiaTheme="majorEastAsia"/>
      <w:color w:val="595959" w:themeColor="text1" w:themeTint="A6"/>
      <w:spacing w:val="15"/>
      <w:sz w:val="28"/>
    </w:rPr>
  </w:style>
  <w:style w:type="paragraph" w:styleId="28">
    <w:name w:val="Quote"/>
    <w:basedOn w:val="0"/>
    <w:next w:val="0"/>
    <w:link w:val="29"/>
    <w:uiPriority w:val="0"/>
    <w:qFormat/>
    <w:pPr>
      <w:spacing w:before="160" w:beforeLines="0" w:beforeAutospacing="0" w:after="160" w:afterLines="0" w:afterAutospacing="0"/>
      <w:jc w:val="center"/>
    </w:pPr>
    <w:rPr>
      <w:i w:val="1"/>
      <w:color w:val="424242" w:themeColor="text1" w:themeTint="BF"/>
    </w:rPr>
  </w:style>
  <w:style w:type="character" w:styleId="29" w:customStyle="1">
    <w:name w:val="引用文 (文字)"/>
    <w:basedOn w:val="10"/>
    <w:next w:val="29"/>
    <w:link w:val="28"/>
    <w:uiPriority w:val="0"/>
    <w:rPr>
      <w:i w:val="1"/>
      <w:color w:val="424242" w:themeColor="text1" w:themeTint="BF"/>
    </w:rPr>
  </w:style>
  <w:style w:type="paragraph" w:styleId="30">
    <w:name w:val="List Paragraph"/>
    <w:basedOn w:val="0"/>
    <w:next w:val="30"/>
    <w:link w:val="0"/>
    <w:uiPriority w:val="0"/>
    <w:qFormat/>
    <w:pPr>
      <w:ind w:left="720"/>
      <w:contextualSpacing w:val="1"/>
    </w:pPr>
  </w:style>
  <w:style w:type="character" w:styleId="31">
    <w:name w:val="Intense Emphasis"/>
    <w:basedOn w:val="10"/>
    <w:next w:val="31"/>
    <w:link w:val="0"/>
    <w:uiPriority w:val="0"/>
    <w:qFormat/>
    <w:rPr>
      <w:i w:val="1"/>
      <w:color w:val="BE5014" w:themeColor="accent1" w:themeShade="BF"/>
    </w:rPr>
  </w:style>
  <w:style w:type="paragraph" w:styleId="32">
    <w:name w:val="Intense Quote"/>
    <w:basedOn w:val="0"/>
    <w:next w:val="0"/>
    <w:link w:val="33"/>
    <w:uiPriority w:val="0"/>
    <w:qFormat/>
    <w:pPr>
      <w:pBdr>
        <w:top w:val="single" w:color="BE5014" w:themeColor="accent1" w:themeShade="BF" w:sz="4" w:space="10"/>
        <w:bottom w:val="single" w:color="BE5014" w:themeColor="accent1" w:themeShade="BF" w:sz="4" w:space="10"/>
      </w:pBdr>
      <w:spacing w:before="360" w:beforeLines="0" w:beforeAutospacing="0" w:after="360" w:afterLines="0" w:afterAutospacing="0"/>
      <w:ind w:left="864" w:right="864"/>
      <w:jc w:val="center"/>
    </w:pPr>
    <w:rPr>
      <w:i w:val="1"/>
      <w:color w:val="BE5014" w:themeColor="accent1" w:themeShade="BF"/>
    </w:rPr>
  </w:style>
  <w:style w:type="character" w:styleId="33" w:customStyle="1">
    <w:name w:val="引用文 2 (文字)"/>
    <w:basedOn w:val="10"/>
    <w:next w:val="33"/>
    <w:link w:val="32"/>
    <w:uiPriority w:val="0"/>
    <w:rPr>
      <w:i w:val="1"/>
      <w:color w:val="BE5014" w:themeColor="accent1" w:themeShade="BF"/>
    </w:rPr>
  </w:style>
  <w:style w:type="character" w:styleId="34">
    <w:name w:val="Intense Reference"/>
    <w:basedOn w:val="10"/>
    <w:next w:val="34"/>
    <w:link w:val="0"/>
    <w:uiPriority w:val="0"/>
    <w:qFormat/>
    <w:rPr>
      <w:b w:val="1"/>
      <w:smallCaps w:val="1"/>
      <w:color w:val="BE5014" w:themeColor="accent1" w:themeShade="BF"/>
      <w:spacing w:val="5"/>
    </w:rPr>
  </w:style>
  <w:style w:type="character" w:styleId="35">
    <w:name w:val="footnote reference"/>
    <w:basedOn w:val="10"/>
    <w:next w:val="35"/>
    <w:link w:val="0"/>
    <w:uiPriority w:val="0"/>
    <w:semiHidden/>
    <w:rPr>
      <w:vertAlign w:val="superscript"/>
    </w:rPr>
  </w:style>
  <w:style w:type="character" w:styleId="36">
    <w:name w:val="endnote reference"/>
    <w:basedOn w:val="10"/>
    <w:next w:val="36"/>
    <w:link w:val="0"/>
    <w:uiPriority w:val="0"/>
    <w:semiHidden/>
    <w:rPr>
      <w:vertAlign w:val="superscript"/>
    </w:rPr>
  </w:style>
  <w:style w:type="character" w:styleId="37">
    <w:name w:val="page number"/>
    <w:basedOn w:val="10"/>
    <w:next w:val="37"/>
    <w:link w:val="0"/>
    <w:uiPriority w:val="0"/>
  </w:style>
  <w:style w:type="table" w:styleId="38">
    <w:name w:val="Table Grid"/>
    <w:basedOn w:val="11"/>
    <w:next w:val="38"/>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footer" Target="footer1.xml" /><Relationship Id="rId7" Type="http://schemas.openxmlformats.org/officeDocument/2006/relationships/chart" Target="charts/chart1.xml" /><Relationship Id="rId8" Type="http://schemas.openxmlformats.org/officeDocument/2006/relationships/chart" Target="charts/chart2.xml" /><Relationship Id="rId9" Type="http://schemas.openxmlformats.org/officeDocument/2006/relationships/chart" Target="charts/chart3.xml" /><Relationship Id="rId10" Type="http://schemas.openxmlformats.org/officeDocument/2006/relationships/chart" Target="charts/chart4.xml" /><Relationship Id="rId11" Type="http://schemas.openxmlformats.org/officeDocument/2006/relationships/chart" Target="charts/chart5.xml" /><Relationship Id="rId12" Type="http://schemas.openxmlformats.org/officeDocument/2006/relationships/chart" Target="charts/chart6.xml" /><Relationship Id="rId13" Type="http://schemas.openxmlformats.org/officeDocument/2006/relationships/chart" Target="charts/chart7.xml" /><Relationship Id="rId14" Type="http://schemas.openxmlformats.org/officeDocument/2006/relationships/chart" Target="charts/chart8.xml" /><Relationship Id="rId15" Type="http://schemas.openxmlformats.org/officeDocument/2006/relationships/chart" Target="charts/chart9.xml" /><Relationship Id="rId16" Type="http://schemas.openxmlformats.org/officeDocument/2006/relationships/chart" Target="charts/chart10.xml" /><Relationship Id="rId17" Type="http://schemas.openxmlformats.org/officeDocument/2006/relationships/chart" Target="charts/chart11.xml" /><Relationship Id="rId18" Type="http://schemas.openxmlformats.org/officeDocument/2006/relationships/chart" Target="charts/chart12.xml" /><Relationship Id="rId19" Type="http://schemas.openxmlformats.org/officeDocument/2006/relationships/chart" Target="charts/chart13.xml" /><Relationship Id="rId20" Type="http://schemas.openxmlformats.org/officeDocument/2006/relationships/chart" Target="charts/chart14.xml" /><Relationship Id="rId21" Type="http://schemas.openxmlformats.org/officeDocument/2006/relationships/chart" Target="charts/chart15.xml" /><Relationship Id="rId22" Type="http://schemas.openxmlformats.org/officeDocument/2006/relationships/chart" Target="charts/chart16.xml" /><Relationship Id="rId23" Type="http://schemas.openxmlformats.org/officeDocument/2006/relationships/chart" Target="charts/chart17.xml" /><Relationship Id="rId24" Type="http://schemas.openxmlformats.org/officeDocument/2006/relationships/chart" Target="charts/chart18.xml" /><Relationship Id="rId25" Type="http://schemas.openxmlformats.org/officeDocument/2006/relationships/chart" Target="charts/chart19.xml" /><Relationship Id="rId26" Type="http://schemas.openxmlformats.org/officeDocument/2006/relationships/chart" Target="charts/chart20.xml" /><Relationship Id="rId27" Type="http://schemas.openxmlformats.org/officeDocument/2006/relationships/chart" Target="charts/chart21.xml" /><Relationship Id="rId28" Type="http://schemas.openxmlformats.org/officeDocument/2006/relationships/chart" Target="charts/chart22.xml" /><Relationship Id="rId29" Type="http://schemas.openxmlformats.org/officeDocument/2006/relationships/chart" Target="charts/chart23.xml" /><Relationship Id="rId30" Type="http://schemas.openxmlformats.org/officeDocument/2006/relationships/chart" Target="charts/chart24.xml" /><Relationship Id="rId31" Type="http://schemas.microsoft.com/office/2011/relationships/commentsExtended" Target="commentsExtended.xml" /></Relationships>
</file>

<file path=word/charts/_rels/chart1.xml.rels><?xml version="1.0" encoding="UTF-8"?><Relationships xmlns="http://schemas.openxmlformats.org/package/2006/relationships"><Relationship Id="rId1" Type="http://schemas.microsoft.com/office/2011/relationships/chartColorStyle" Target="colors1.xml" /><Relationship Id="rId2" Type="http://schemas.microsoft.com/office/2011/relationships/chartStyle" Target="style1.xml" /></Relationships>
</file>

<file path=word/charts/_rels/chart2.xml.rels><?xml version="1.0" encoding="UTF-8"?><Relationships xmlns="http://schemas.openxmlformats.org/package/2006/relationships"><Relationship Id="rId1" Type="http://schemas.microsoft.com/office/2011/relationships/chartColorStyle" Target="colors2.xml" /><Relationship Id="rId2" Type="http://schemas.microsoft.com/office/2011/relationships/chartStyle" Target="style2.xml" /></Relationships>
</file>

<file path=word/charts/_rels/chart3.xml.rels><?xml version="1.0" encoding="UTF-8"?><Relationships xmlns="http://schemas.openxmlformats.org/package/2006/relationships"><Relationship Id="rId1" Type="http://schemas.microsoft.com/office/2011/relationships/chartColorStyle" Target="colors3.xml" /><Relationship Id="rId2" Type="http://schemas.microsoft.com/office/2011/relationships/chartStyle" Target="style3.xml" /></Relationships>
</file>

<file path=word/charts/_rels/chart4.xml.rels><?xml version="1.0" encoding="UTF-8"?><Relationships xmlns="http://schemas.openxmlformats.org/package/2006/relationships"><Relationship Id="rId1" Type="http://schemas.microsoft.com/office/2011/relationships/chartColorStyle" Target="colors4.xml" /><Relationship Id="rId2" Type="http://schemas.microsoft.com/office/2011/relationships/chartStyle" Target="style4.xml" /></Relationships>
</file>

<file path=word/charts/_rels/chart5.xml.rels><?xml version="1.0" encoding="UTF-8"?><Relationships xmlns="http://schemas.openxmlformats.org/package/2006/relationships"><Relationship Id="rId1" Type="http://schemas.microsoft.com/office/2011/relationships/chartColorStyle" Target="colors5.xml" /><Relationship Id="rId2" Type="http://schemas.microsoft.com/office/2011/relationships/chartStyle" Target="style5.xml" /></Relationships>
</file>

<file path=word/charts/_rels/chart6.xml.rels><?xml version="1.0" encoding="UTF-8"?><Relationships xmlns="http://schemas.openxmlformats.org/package/2006/relationships"><Relationship Id="rId1" Type="http://schemas.microsoft.com/office/2011/relationships/chartColorStyle" Target="colors6.xml" /><Relationship Id="rId2" Type="http://schemas.microsoft.com/office/2011/relationships/chartStyle" Target="style6.xml" /></Relationships>
</file>

<file path=word/charts/_rels/chart7.xml.rels><?xml version="1.0" encoding="UTF-8"?><Relationships xmlns="http://schemas.openxmlformats.org/package/2006/relationships"><Relationship Id="rId1" Type="http://schemas.microsoft.com/office/2011/relationships/chartColorStyle" Target="colors7.xml" /><Relationship Id="rId2" Type="http://schemas.microsoft.com/office/2011/relationships/chartStyle" Target="style7.xml" /></Relationships>
</file>

<file path=word/charts/_rels/chart8.xml.rels><?xml version="1.0" encoding="UTF-8"?><Relationships xmlns="http://schemas.openxmlformats.org/package/2006/relationships"><Relationship Id="rId1" Type="http://schemas.microsoft.com/office/2011/relationships/chartColorStyle" Target="colors8.xml" /><Relationship Id="rId2" Type="http://schemas.microsoft.com/office/2011/relationships/chartStyle" Target="style8.xml" /></Relationships>
</file>

<file path=word/charts/_rels/chart9.xml.rels><?xml version="1.0" encoding="UTF-8"?><Relationships xmlns="http://schemas.openxmlformats.org/package/2006/relationships"><Relationship Id="rId1" Type="http://schemas.microsoft.com/office/2011/relationships/chartColorStyle" Target="colors9.xml" /><Relationship Id="rId2" Type="http://schemas.microsoft.com/office/2011/relationships/chartStyle" Target="style9.xml" /></Relationships>
</file>

<file path=word/charts/_rels/chart10.xml.rels><?xml version="1.0" encoding="UTF-8"?><Relationships xmlns="http://schemas.openxmlformats.org/package/2006/relationships"><Relationship Id="rId1" Type="http://schemas.microsoft.com/office/2011/relationships/chartColorStyle" Target="colors10.xml" /><Relationship Id="rId2" Type="http://schemas.microsoft.com/office/2011/relationships/chartStyle" Target="style10.xml" /></Relationships>
</file>

<file path=word/charts/_rels/chart11.xml.rels><?xml version="1.0" encoding="UTF-8"?><Relationships xmlns="http://schemas.openxmlformats.org/package/2006/relationships"><Relationship Id="rId1" Type="http://schemas.microsoft.com/office/2011/relationships/chartColorStyle" Target="colors11.xml" /><Relationship Id="rId2" Type="http://schemas.microsoft.com/office/2011/relationships/chartStyle" Target="style11.xml" /></Relationships>
</file>

<file path=word/charts/_rels/chart12.xml.rels><?xml version="1.0" encoding="UTF-8"?><Relationships xmlns="http://schemas.openxmlformats.org/package/2006/relationships"><Relationship Id="rId1" Type="http://schemas.microsoft.com/office/2011/relationships/chartColorStyle" Target="colors12.xml" /><Relationship Id="rId2" Type="http://schemas.microsoft.com/office/2011/relationships/chartStyle" Target="style12.xml" /></Relationships>
</file>

<file path=word/charts/_rels/chart13.xml.rels><?xml version="1.0" encoding="UTF-8"?><Relationships xmlns="http://schemas.openxmlformats.org/package/2006/relationships"><Relationship Id="rId1" Type="http://schemas.microsoft.com/office/2011/relationships/chartColorStyle" Target="colors13.xml" /><Relationship Id="rId2" Type="http://schemas.microsoft.com/office/2011/relationships/chartStyle" Target="style13.xml" /></Relationships>
</file>

<file path=word/charts/_rels/chart14.xml.rels><?xml version="1.0" encoding="UTF-8"?><Relationships xmlns="http://schemas.openxmlformats.org/package/2006/relationships"><Relationship Id="rId1" Type="http://schemas.microsoft.com/office/2011/relationships/chartColorStyle" Target="colors14.xml" /><Relationship Id="rId2" Type="http://schemas.microsoft.com/office/2011/relationships/chartStyle" Target="style14.xml" /></Relationships>
</file>

<file path=word/charts/_rels/chart15.xml.rels><?xml version="1.0" encoding="UTF-8"?><Relationships xmlns="http://schemas.openxmlformats.org/package/2006/relationships"><Relationship Id="rId1" Type="http://schemas.microsoft.com/office/2011/relationships/chartColorStyle" Target="colors15.xml" /><Relationship Id="rId2" Type="http://schemas.microsoft.com/office/2011/relationships/chartStyle" Target="style15.xml" /></Relationships>
</file>

<file path=word/charts/_rels/chart16.xml.rels><?xml version="1.0" encoding="UTF-8"?><Relationships xmlns="http://schemas.openxmlformats.org/package/2006/relationships"><Relationship Id="rId1" Type="http://schemas.microsoft.com/office/2011/relationships/chartColorStyle" Target="colors16.xml" /><Relationship Id="rId2" Type="http://schemas.microsoft.com/office/2011/relationships/chartStyle" Target="style16.xml" /></Relationships>
</file>

<file path=word/charts/_rels/chart17.xml.rels><?xml version="1.0" encoding="UTF-8"?><Relationships xmlns="http://schemas.openxmlformats.org/package/2006/relationships"><Relationship Id="rId1" Type="http://schemas.microsoft.com/office/2011/relationships/chartColorStyle" Target="colors17.xml" /><Relationship Id="rId2" Type="http://schemas.microsoft.com/office/2011/relationships/chartStyle" Target="style17.xml" /></Relationships>
</file>

<file path=word/charts/_rels/chart18.xml.rels><?xml version="1.0" encoding="UTF-8"?><Relationships xmlns="http://schemas.openxmlformats.org/package/2006/relationships"><Relationship Id="rId1" Type="http://schemas.microsoft.com/office/2011/relationships/chartColorStyle" Target="colors18.xml" /><Relationship Id="rId2" Type="http://schemas.microsoft.com/office/2011/relationships/chartStyle" Target="style18.xml" /></Relationships>
</file>

<file path=word/charts/_rels/chart19.xml.rels><?xml version="1.0" encoding="UTF-8"?><Relationships xmlns="http://schemas.openxmlformats.org/package/2006/relationships"><Relationship Id="rId1" Type="http://schemas.microsoft.com/office/2011/relationships/chartColorStyle" Target="colors19.xml" /><Relationship Id="rId2" Type="http://schemas.microsoft.com/office/2011/relationships/chartStyle" Target="style19.xml" /></Relationships>
</file>

<file path=word/charts/_rels/chart20.xml.rels><?xml version="1.0" encoding="UTF-8"?><Relationships xmlns="http://schemas.openxmlformats.org/package/2006/relationships"><Relationship Id="rId1" Type="http://schemas.microsoft.com/office/2011/relationships/chartColorStyle" Target="colors20.xml" /><Relationship Id="rId2" Type="http://schemas.microsoft.com/office/2011/relationships/chartStyle" Target="style20.xml" /></Relationships>
</file>

<file path=word/charts/_rels/chart21.xml.rels><?xml version="1.0" encoding="UTF-8"?><Relationships xmlns="http://schemas.openxmlformats.org/package/2006/relationships"><Relationship Id="rId1" Type="http://schemas.microsoft.com/office/2011/relationships/chartColorStyle" Target="colors21.xml" /><Relationship Id="rId2" Type="http://schemas.microsoft.com/office/2011/relationships/chartStyle" Target="style21.xml" /></Relationships>
</file>

<file path=word/charts/_rels/chart22.xml.rels><?xml version="1.0" encoding="UTF-8"?><Relationships xmlns="http://schemas.openxmlformats.org/package/2006/relationships"><Relationship Id="rId1" Type="http://schemas.microsoft.com/office/2011/relationships/chartColorStyle" Target="colors22.xml" /><Relationship Id="rId2" Type="http://schemas.microsoft.com/office/2011/relationships/chartStyle" Target="style22.xml" /></Relationships>
</file>

<file path=word/charts/_rels/chart23.xml.rels><?xml version="1.0" encoding="UTF-8"?><Relationships xmlns="http://schemas.openxmlformats.org/package/2006/relationships"><Relationship Id="rId1" Type="http://schemas.microsoft.com/office/2011/relationships/chartColorStyle" Target="colors23.xml" /><Relationship Id="rId2" Type="http://schemas.microsoft.com/office/2011/relationships/chartStyle" Target="style23.xml" /></Relationships>
</file>

<file path=word/charts/_rels/chart24.xml.rels><?xml version="1.0" encoding="UTF-8"?><Relationships xmlns="http://schemas.openxmlformats.org/package/2006/relationships"><Relationship Id="rId1" Type="http://schemas.microsoft.com/office/2011/relationships/chartColorStyle" Target="colors24.xml" /><Relationship Id="rId2" Type="http://schemas.microsoft.com/office/2011/relationships/chartStyle" Target="style24.xml" /></Relationships>
</file>

<file path=word/charts/chart1.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押水!$AF$5</c:f>
              <c:strCache>
                <c:ptCount val="1"/>
                <c:pt idx="0">
                  <c:v>① 学校運営協議会での協議は充実していますか。</c:v>
                </c:pt>
              </c:strCache>
            </c:strRef>
          </c:tx>
          <c:spPr>
            <a:solidFill>
              <a:srgbClr val="FFA6A6"/>
            </a:solidFill>
            <a:ln/>
            <a:effectLst/>
          </c:spPr>
          <c:dPt>
            <c:idx val="0"/>
            <c:invertIfNegative val="0"/>
            <c:bubble3D val="0"/>
            <c:spPr>
              <a:solidFill>
                <a:srgbClr val="FFA6A6"/>
              </a:solidFill>
              <a:ln w="19050">
                <a:solidFill>
                  <a:schemeClr val="lt1"/>
                </a:solidFill>
              </a:ln>
              <a:effectLst/>
            </c:spPr>
          </c:dPt>
          <c:dPt>
            <c:idx val="1"/>
            <c:invertIfNegative val="0"/>
            <c:bubble3D val="0"/>
            <c:spPr>
              <a:solidFill>
                <a:srgbClr val="00B0F0"/>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FFA6A6"/>
              </a:solidFill>
              <a:ln w="19050">
                <a:solidFill>
                  <a:schemeClr val="lt1"/>
                </a:solidFill>
              </a:ln>
              <a:effectLst/>
            </c:spPr>
          </c:dPt>
          <c:dLbls>
            <c:dLbl>
              <c:idx val="0"/>
              <c:delete val="1"/>
            </c:dLbl>
            <c:dLbl>
              <c:idx val="1"/>
              <c:layout>
                <c:manualLayout>
                  <c:x val="-8.5634400656700416e-002"/>
                  <c:y val="0.1267992159059087"/>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900" kern="1200">
                      <a:solidFill>
                        <a:schemeClr val="tx1">
                          <a:lumMod val="75000"/>
                          <a:lumOff val="25000"/>
                        </a:schemeClr>
                      </a:solidFill>
                      <a:latin typeface="+mn-lt"/>
                      <a:ea typeface="+mn-ea"/>
                      <a:cs typeface="+mn-cs"/>
                    </a:defRPr>
                  </a:pPr>
                  <a:endParaRPr lang="ja-JP" altLang="en-US" sz="900" kern="1200">
                    <a:solidFill>
                      <a:schemeClr val="tx1">
                        <a:lumMod val="75000"/>
                        <a:lumOff val="25000"/>
                      </a:schemeClr>
                    </a:solidFill>
                    <a:latin typeface="+mn-lt"/>
                    <a:ea typeface="+mn-ea"/>
                    <a:cs typeface="+mn-cs"/>
                  </a:endParaRPr>
                </a:p>
              </c:txPr>
              <c:showLegendKey val="0"/>
              <c:showVal val="0"/>
              <c:showCatName val="1"/>
              <c:showSerName val="0"/>
              <c:showPercent val="1"/>
              <c:showBubbleSize val="0"/>
              <c:extLst>
                <c:ext xmlns:c15="http://schemas.microsoft.com/office/drawing/2012/chart" uri="{CE6537A1-D6FC-4f65-9D91-7224C49458BB}">
                  <c15:layout>
                    <c:manualLayout>
                      <c:w val="0.32159488888888887"/>
                      <c:h val="0.2045953947368421"/>
                    </c:manualLayout>
                  </c15:layout>
                </c:ext>
              </c:extLst>
            </c:dLbl>
            <c:dLbl>
              <c:idx val="2"/>
              <c:layout>
                <c:manualLayout>
                  <c:x val="0.25351320118706588"/>
                  <c:y val="-0.22433559397519603"/>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900" kern="1200">
                      <a:solidFill>
                        <a:schemeClr val="tx1">
                          <a:lumMod val="75000"/>
                          <a:lumOff val="25000"/>
                        </a:schemeClr>
                      </a:solidFill>
                      <a:latin typeface="+mn-lt"/>
                      <a:ea typeface="+mn-ea"/>
                      <a:cs typeface="+mn-cs"/>
                    </a:defRPr>
                  </a:pPr>
                  <a:endParaRPr lang="ja-JP" altLang="en-US" sz="900" kern="1200">
                    <a:solidFill>
                      <a:schemeClr val="tx1">
                        <a:lumMod val="75000"/>
                        <a:lumOff val="25000"/>
                      </a:schemeClr>
                    </a:solidFill>
                    <a:latin typeface="+mn-lt"/>
                    <a:ea typeface="+mn-ea"/>
                    <a:cs typeface="+mn-cs"/>
                  </a:endParaRPr>
                </a:p>
              </c:txPr>
              <c:showLegendKey val="0"/>
              <c:showVal val="0"/>
              <c:showCatName val="1"/>
              <c:showSerName val="0"/>
              <c:showPercent val="1"/>
              <c:showBubbleSize val="0"/>
              <c:extLst>
                <c:ext xmlns:c15="http://schemas.microsoft.com/office/drawing/2012/chart" uri="{CE6537A1-D6FC-4f65-9D91-7224C49458BB}">
                  <c15:layout>
                    <c:manualLayout>
                      <c:w val="0.2841299579296872"/>
                      <c:h val="0.2110232564940524"/>
                    </c:manualLayout>
                  </c15:layout>
                </c:ext>
              </c:extLst>
            </c:dLbl>
            <c:dLbl>
              <c:idx val="3"/>
              <c:delete val="1"/>
            </c:dLbl>
            <c:dLbl>
              <c:idx val="4"/>
              <c:delete val="1"/>
            </c:dLbl>
            <c:txPr>
              <a:bodyPr rot="0" spcFirstLastPara="1" vertOverflow="ellipsis" horzOverflow="overflow" wrap="square" lIns="38100" tIns="19050" rIns="38100" bIns="19050" anchor="ctr" anchorCtr="1">
                <a:spAutoFit/>
              </a:bodyPr>
              <a:lstStyle/>
              <a:p>
                <a:pPr algn="ctr" rtl="0">
                  <a:defRPr lang="ja-JP" altLang="en-US" sz="900" kern="1200">
                    <a:solidFill>
                      <a:schemeClr val="tx1">
                        <a:lumMod val="75000"/>
                        <a:lumOff val="25000"/>
                      </a:schemeClr>
                    </a:solidFill>
                    <a:latin typeface="+mn-lt"/>
                    <a:ea typeface="+mn-ea"/>
                    <a:cs typeface="+mn-cs"/>
                  </a:defRPr>
                </a:pPr>
                <a:endParaRPr lang="ja-JP" altLang="en-US" sz="900" kern="1200">
                  <a:solidFill>
                    <a:schemeClr val="tx1">
                      <a:lumMod val="75000"/>
                      <a:lumOff val="25000"/>
                    </a:schemeClr>
                  </a:solidFill>
                  <a:latin typeface="+mn-lt"/>
                  <a:ea typeface="+mn-ea"/>
                  <a:cs typeface="+mn-cs"/>
                </a:endParaRPr>
              </a:p>
            </c:txPr>
            <c:showLegendKey val="0"/>
            <c:showVal val="0"/>
            <c:showCatName val="0"/>
            <c:showSerName val="0"/>
            <c:showPercent val="0"/>
            <c:showBubbleSize val="0"/>
            <c:showLeaderLines val="1"/>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押水!$AF$6:$AF$10</c:f>
              <c:numCache>
                <c:formatCode>General</c:formatCode>
                <c:ptCount val="5"/>
                <c:pt idx="0">
                  <c:v>0</c:v>
                </c:pt>
                <c:pt idx="1">
                  <c:v>1</c:v>
                </c:pt>
                <c:pt idx="2">
                  <c:v>6</c:v>
                </c:pt>
                <c:pt idx="3">
                  <c:v>0</c:v>
                </c:pt>
                <c:pt idx="4">
                  <c:v>0</c:v>
                </c:pt>
              </c:numCache>
            </c:numRef>
          </c:val>
        </c:ser>
        <c:dLbls>
          <c:spPr>
            <a:noFill/>
            <a:ln>
              <a:noFill/>
            </a:ln>
            <a:effectLst/>
          </c:spPr>
          <c:txPr>
            <a:bodyPr rot="0" spcFirstLastPara="1" vertOverflow="ellipsis" horzOverflow="overflow" wrap="square" anchor="ctr" anchorCtr="1">
              <a:spAutoFit/>
            </a:bodyPr>
            <a:lstStyle/>
            <a:p>
              <a:pPr algn="ctr" rtl="0">
                <a:defRPr lang="ja-JP" altLang="en-US" sz="900" kern="1200">
                  <a:solidFill>
                    <a:schemeClr val="tx1">
                      <a:lumMod val="75000"/>
                      <a:lumOff val="25000"/>
                    </a:schemeClr>
                  </a:solidFill>
                  <a:latin typeface="+mn-lt"/>
                  <a:ea typeface="+mn-ea"/>
                  <a:cs typeface="+mn-cs"/>
                </a:defRPr>
              </a:pPr>
              <a:endParaRPr lang="ja-JP" altLang="en-US" sz="900" kern="1200">
                <a:solidFill>
                  <a:schemeClr val="tx1">
                    <a:lumMod val="75000"/>
                    <a:lumOff val="25000"/>
                  </a:schemeClr>
                </a:solidFill>
                <a:latin typeface="+mn-lt"/>
                <a:ea typeface="+mn-ea"/>
                <a:cs typeface="+mn-cs"/>
              </a:endParaRPr>
            </a:p>
          </c:txPr>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a:pPr>
      <a:endParaRPr lang="ja-JP" altLang="en-US"/>
    </a:p>
  </c:txPr>
  <c:extLst>
    <c:ext xmlns:c14="http://schemas.microsoft.com/office/drawing/2007/8/2/chart" uri="{781A3756-C4B2-4CAC-9D66-4F8BD8637D16}"/>
  </c:extLst>
</c:chartSpace>
</file>

<file path=word/charts/chart2.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押水!$AG$5</c:f>
              <c:strCache>
                <c:ptCount val="1"/>
                <c:pt idx="0">
                  <c:v>① 子どもたちは、学校ビジョンにある「めざす子どもの姿」を知っていますか。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rgbClr val="00B0F0"/>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layout>
                <c:manualLayout>
                  <c:x val="-0.15614785269745213"/>
                  <c:y val="0.1831499149976737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0069250077364784"/>
                      <c:h val="0.27248107568183771"/>
                    </c:manualLayout>
                  </c15:layout>
                </c:ext>
              </c:extLst>
            </c:dLbl>
            <c:dLbl>
              <c:idx val="2"/>
              <c:layout>
                <c:manualLayout>
                  <c:x val="-9.0275418629439941e-002"/>
                  <c:y val="-0.15452254270512461"/>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dLbl>
              <c:idx val="3"/>
              <c:layout>
                <c:manualLayout>
                  <c:x val="8.7413815631124714e-002"/>
                  <c:y val="-0.10558678064989846"/>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dLbl>
              <c:idx val="4"/>
              <c:layout/>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1"/>
            <c:leaderLines>
              <c:spPr>
                <a:noFill/>
                <a:ln w="9525" cap="flat" cmpd="sng" algn="ctr">
                  <a:solidFill>
                    <a:schemeClr val="tx1">
                      <a:lumMod val="35000"/>
                      <a:lumOff val="65000"/>
                    </a:schemeClr>
                  </a:solidFill>
                  <a:round/>
                </a:ln>
                <a:effectLst/>
              </c:spPr>
            </c:leaderLines>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押水!$AG$6:$AG$10</c:f>
              <c:numCache>
                <c:formatCode>General</c:formatCode>
                <c:ptCount val="5"/>
                <c:pt idx="0">
                  <c:v>0</c:v>
                </c:pt>
                <c:pt idx="1">
                  <c:v>2</c:v>
                </c:pt>
                <c:pt idx="2">
                  <c:v>2</c:v>
                </c:pt>
                <c:pt idx="3">
                  <c:v>1</c:v>
                </c:pt>
                <c:pt idx="4">
                  <c:v>2</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3.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押水!$AH$5</c:f>
              <c:strCache>
                <c:ptCount val="1"/>
                <c:pt idx="0">
                  <c:v>② 教職員や保護者、地域住民と学校の教育目標や経営方針、課題等が共有できていますか。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delete val="1"/>
            </c:dLbl>
            <c:dLbl>
              <c:idx val="2"/>
              <c:layout>
                <c:manualLayout>
                  <c:x val="-0.20553024103428133"/>
                  <c:y val="-5.4933332157339199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9111989822232914"/>
                      <c:h val="0.28300328322863311"/>
                    </c:manualLayout>
                  </c15:layout>
                </c:ext>
              </c:extLst>
            </c:dLbl>
            <c:dLbl>
              <c:idx val="3"/>
              <c:layout>
                <c:manualLayout>
                  <c:x val="0.16468232300656743"/>
                  <c:y val="-5.0337694066595023e-002"/>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dLbl>
              <c:idx val="4"/>
              <c:layout>
                <c:manualLayout>
                  <c:x val="9.9045077880548768e-002"/>
                  <c:y val="0.156818818258191"/>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1"/>
            <c:leaderLines>
              <c:spPr>
                <a:noFill/>
                <a:ln w="9525" cap="flat" cmpd="sng" algn="ctr">
                  <a:solidFill>
                    <a:schemeClr val="tx1">
                      <a:lumMod val="35000"/>
                      <a:lumOff val="65000"/>
                    </a:schemeClr>
                  </a:solidFill>
                  <a:round/>
                </a:ln>
                <a:effectLst/>
              </c:spPr>
            </c:leaderLines>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押水!$AH$6:$AH$10</c:f>
              <c:numCache>
                <c:formatCode>General</c:formatCode>
                <c:ptCount val="5"/>
                <c:pt idx="0">
                  <c:v>0</c:v>
                </c:pt>
                <c:pt idx="1">
                  <c:v>0</c:v>
                </c:pt>
                <c:pt idx="2">
                  <c:v>4</c:v>
                </c:pt>
                <c:pt idx="3">
                  <c:v>2</c:v>
                </c:pt>
                <c:pt idx="4">
                  <c:v>1</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4.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押水!$AI$5</c:f>
              <c:strCache>
                <c:ptCount val="1"/>
                <c:pt idx="0">
                  <c:v>① 学校は、地域の行事や活動等に協力的ですか。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delete val="1"/>
            </c:dLbl>
            <c:dLbl>
              <c:idx val="2"/>
              <c:layout>
                <c:manualLayout>
                  <c:x val="-0.19238863663827174"/>
                  <c:y val="5.0160192451440627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899851797939616"/>
                      <c:h val="0.20540001808090985"/>
                    </c:manualLayout>
                  </c15:layout>
                </c:ext>
              </c:extLst>
            </c:dLbl>
            <c:dLbl>
              <c:idx val="3"/>
              <c:layout>
                <c:manualLayout>
                  <c:x val="0.19201222840618198"/>
                  <c:y val="-0.2500647164273887"/>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6900687952019753"/>
                      <c:h val="0.25763091570988517"/>
                    </c:manualLayout>
                  </c15:layout>
                </c:ext>
              </c:extLst>
            </c:dLbl>
            <c:dLbl>
              <c:idx val="4"/>
              <c:layout>
                <c:manualLayout>
                  <c:x val="7.9825907720257841e-002"/>
                  <c:y val="0.1078129375525063"/>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1"/>
            <c:leaderLines>
              <c:spPr>
                <a:noFill/>
                <a:ln w="9525" cap="flat" cmpd="sng" algn="ctr">
                  <a:solidFill>
                    <a:schemeClr val="tx1">
                      <a:lumMod val="35000"/>
                      <a:lumOff val="65000"/>
                    </a:schemeClr>
                  </a:solidFill>
                  <a:round/>
                </a:ln>
                <a:effectLst/>
              </c:spPr>
            </c:leaderLines>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押水!$AI$6:$AI$10</c:f>
              <c:numCache>
                <c:formatCode>General</c:formatCode>
                <c:ptCount val="5"/>
                <c:pt idx="0">
                  <c:v>0</c:v>
                </c:pt>
                <c:pt idx="1">
                  <c:v>0</c:v>
                </c:pt>
                <c:pt idx="2">
                  <c:v>3</c:v>
                </c:pt>
                <c:pt idx="3">
                  <c:v>3</c:v>
                </c:pt>
                <c:pt idx="4">
                  <c:v>1</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5.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押水!$AJ$5</c:f>
              <c:strCache>
                <c:ptCount val="1"/>
                <c:pt idx="0">
                  <c:v>② 保護者(PTA) は、学校の教育活動に協力的ですか。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chemeClr val="accent5"/>
              </a:solidFill>
              <a:ln w="19050">
                <a:solidFill>
                  <a:schemeClr val="lt1"/>
                </a:solidFill>
              </a:ln>
              <a:effectLst/>
            </c:spPr>
          </c:dPt>
          <c:dLbls>
            <c:dLbl>
              <c:idx val="0"/>
              <c:delete val="1"/>
            </c:dLbl>
            <c:dLbl>
              <c:idx val="1"/>
              <c:delete val="1"/>
            </c:dLbl>
            <c:dLbl>
              <c:idx val="2"/>
              <c:layout>
                <c:manualLayout>
                  <c:x val="-0.20955774851287706"/>
                  <c:y val="-9.7552241702075118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8466691881855383"/>
                      <c:h val="0.25964186568529957"/>
                    </c:manualLayout>
                  </c15:layout>
                </c:ext>
              </c:extLst>
            </c:dLbl>
            <c:dLbl>
              <c:idx val="3"/>
              <c:layout/>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dLbl>
              <c:idx val="4"/>
              <c:delete val="1"/>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1"/>
            <c:leaderLines>
              <c:spPr>
                <a:noFill/>
                <a:ln w="9525" cap="flat" cmpd="sng" algn="ctr">
                  <a:solidFill>
                    <a:schemeClr val="tx1">
                      <a:lumMod val="35000"/>
                      <a:lumOff val="65000"/>
                    </a:schemeClr>
                  </a:solidFill>
                  <a:round/>
                </a:ln>
                <a:effectLst/>
              </c:spPr>
            </c:leaderLines>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押水!$AJ$6:$AJ$10</c:f>
              <c:numCache>
                <c:formatCode>General</c:formatCode>
                <c:ptCount val="5"/>
                <c:pt idx="0">
                  <c:v>0</c:v>
                </c:pt>
                <c:pt idx="1">
                  <c:v>0</c:v>
                </c:pt>
                <c:pt idx="2">
                  <c:v>4</c:v>
                </c:pt>
                <c:pt idx="3">
                  <c:v>3</c:v>
                </c:pt>
                <c:pt idx="4">
                  <c:v>0</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6.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押水!$AK$5</c:f>
              <c:strCache>
                <c:ptCount val="1"/>
                <c:pt idx="0">
                  <c:v>③ 地域は、学校の教育活動に協力的ですか。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chemeClr val="accent5"/>
              </a:solidFill>
              <a:ln w="19050">
                <a:solidFill>
                  <a:schemeClr val="lt1"/>
                </a:solidFill>
              </a:ln>
              <a:effectLst/>
            </c:spPr>
          </c:dPt>
          <c:dLbls>
            <c:dLbl>
              <c:idx val="0"/>
              <c:delete val="1"/>
            </c:dLbl>
            <c:dLbl>
              <c:idx val="1"/>
              <c:delete val="1"/>
            </c:dLbl>
            <c:dLbl>
              <c:idx val="2"/>
              <c:layout>
                <c:manualLayout>
                  <c:x val="-0.17585598148793763"/>
                  <c:y val="-5.849042042525418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0974202840979326"/>
                      <c:h val="0.2447573078848202"/>
                    </c:manualLayout>
                  </c15:layout>
                </c:ext>
              </c:extLst>
            </c:dLbl>
            <c:dLbl>
              <c:idx val="3"/>
              <c:layout>
                <c:manualLayout>
                  <c:x val="0.18318246909910649"/>
                  <c:y val="7.6437266960224209e-002"/>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dLbl>
              <c:idx val="4"/>
              <c:delete val="1"/>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1"/>
            <c:leaderLines>
              <c:spPr>
                <a:noFill/>
                <a:ln w="9525" cap="flat" cmpd="sng" algn="ctr">
                  <a:solidFill>
                    <a:schemeClr val="tx1">
                      <a:lumMod val="35000"/>
                      <a:lumOff val="65000"/>
                    </a:schemeClr>
                  </a:solidFill>
                  <a:round/>
                </a:ln>
                <a:effectLst/>
              </c:spPr>
            </c:leaderLines>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押水!$AK$6:$AK$10</c:f>
              <c:numCache>
                <c:formatCode>General</c:formatCode>
                <c:ptCount val="5"/>
                <c:pt idx="0">
                  <c:v>0</c:v>
                </c:pt>
                <c:pt idx="1">
                  <c:v>0</c:v>
                </c:pt>
                <c:pt idx="2">
                  <c:v>4</c:v>
                </c:pt>
                <c:pt idx="3">
                  <c:v>3</c:v>
                </c:pt>
                <c:pt idx="4">
                  <c:v>0</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7.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押水!$AL$5</c:f>
              <c:strCache>
                <c:ptCount val="1"/>
                <c:pt idx="0">
                  <c:v>① CSの目的や仕組み、取組について、子どもへ周知されていますか。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rgbClr val="00B0F0"/>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layout>
                <c:manualLayout>
                  <c:x val="-9.5311469558235107e-002"/>
                  <c:y val="0.17190683035576643"/>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9037394977241885"/>
                      <c:h val="0.20637506422030483"/>
                    </c:manualLayout>
                  </c15:layout>
                </c:ext>
              </c:extLst>
            </c:dLbl>
            <c:dLbl>
              <c:idx val="2"/>
              <c:layout>
                <c:manualLayout>
                  <c:x val="-7.5256645133152675e-003"/>
                  <c:y val="-0.16410344044434938"/>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0025931888166474"/>
                      <c:h val="0.24845639744485867"/>
                    </c:manualLayout>
                  </c15:layout>
                </c:ext>
              </c:extLst>
            </c:dLbl>
            <c:dLbl>
              <c:idx val="3"/>
              <c:delete val="1"/>
            </c:dLbl>
            <c:dLbl>
              <c:idx val="4"/>
              <c:layout/>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1"/>
            <c:leaderLines>
              <c:spPr>
                <a:noFill/>
                <a:ln w="9525" cap="flat" cmpd="sng" algn="ctr">
                  <a:solidFill>
                    <a:schemeClr val="tx1">
                      <a:lumMod val="35000"/>
                      <a:lumOff val="65000"/>
                    </a:schemeClr>
                  </a:solidFill>
                  <a:round/>
                </a:ln>
                <a:effectLst/>
              </c:spPr>
            </c:leaderLines>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押水!$AL$6:$AL$10</c:f>
              <c:numCache>
                <c:formatCode>General</c:formatCode>
                <c:ptCount val="5"/>
                <c:pt idx="0">
                  <c:v>0</c:v>
                </c:pt>
                <c:pt idx="1">
                  <c:v>2</c:v>
                </c:pt>
                <c:pt idx="2">
                  <c:v>3</c:v>
                </c:pt>
                <c:pt idx="3">
                  <c:v>0</c:v>
                </c:pt>
                <c:pt idx="4">
                  <c:v>2</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8.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押水!$AM$5</c:f>
              <c:strCache>
                <c:ptCount val="1"/>
                <c:pt idx="0">
                  <c:v>② CSの目的や仕組み、取組について、教職員へ周知されていますか。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delete val="1"/>
            </c:dLbl>
            <c:dLbl>
              <c:idx val="2"/>
              <c:layout>
                <c:manualLayout>
                  <c:x val="-0.25953014252121287"/>
                  <c:y val="-0.17656383332929085"/>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826203568794507"/>
                      <c:h val="0.2998211753914406"/>
                    </c:manualLayout>
                  </c15:layout>
                </c:ext>
              </c:extLst>
            </c:dLbl>
            <c:dLbl>
              <c:idx val="3"/>
              <c:delete val="1"/>
            </c:dLbl>
            <c:dLbl>
              <c:idx val="4"/>
              <c:layout>
                <c:manualLayout>
                  <c:x val="9.9670677520928161e-002"/>
                  <c:y val="0.11201344161299356"/>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1"/>
            <c:leaderLines>
              <c:spPr>
                <a:noFill/>
                <a:ln w="9525" cap="flat" cmpd="sng" algn="ctr">
                  <a:solidFill>
                    <a:schemeClr val="tx1">
                      <a:lumMod val="35000"/>
                      <a:lumOff val="65000"/>
                    </a:schemeClr>
                  </a:solidFill>
                  <a:round/>
                </a:ln>
                <a:effectLst/>
              </c:spPr>
            </c:leaderLines>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押水!$AM$6:$AM$10</c:f>
              <c:numCache>
                <c:formatCode>General</c:formatCode>
                <c:ptCount val="5"/>
                <c:pt idx="0">
                  <c:v>0</c:v>
                </c:pt>
                <c:pt idx="1">
                  <c:v>0</c:v>
                </c:pt>
                <c:pt idx="2">
                  <c:v>6</c:v>
                </c:pt>
                <c:pt idx="3">
                  <c:v>0</c:v>
                </c:pt>
                <c:pt idx="4">
                  <c:v>1</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9.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押水!$AN$5</c:f>
              <c:strCache>
                <c:ptCount val="1"/>
                <c:pt idx="0">
                  <c:v>③ CSの目的や仕組み、取組について、保護者・地域住民へ周知されていますか。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rgbClr val="00B0F0"/>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layout>
                <c:manualLayout>
                  <c:x val="-7.9016699469278348e-002"/>
                  <c:y val="6.615430072081091e-002"/>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40804430227664473"/>
                      <c:h val="0.24717662182454014"/>
                    </c:manualLayout>
                  </c15:layout>
                </c:ext>
              </c:extLst>
            </c:dLbl>
            <c:dLbl>
              <c:idx val="2"/>
              <c:layout>
                <c:manualLayout>
                  <c:x val="0.18979391996533151"/>
                  <c:y val="-0.18196230791789503"/>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2879245183433037"/>
                      <c:h val="0.21816514044677487"/>
                    </c:manualLayout>
                  </c15:layout>
                </c:ext>
              </c:extLst>
            </c:dLbl>
            <c:dLbl>
              <c:idx val="3"/>
              <c:delete val="1"/>
            </c:dLbl>
            <c:dLbl>
              <c:idx val="4"/>
              <c:layout>
                <c:manualLayout>
                  <c:x val="7.497496399120511e-002"/>
                  <c:y val="0.1008120974516942"/>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1"/>
            <c:leaderLines>
              <c:spPr>
                <a:noFill/>
                <a:ln w="9525" cap="flat" cmpd="sng" algn="ctr">
                  <a:solidFill>
                    <a:schemeClr val="tx1">
                      <a:lumMod val="35000"/>
                      <a:lumOff val="65000"/>
                    </a:schemeClr>
                  </a:solidFill>
                  <a:round/>
                </a:ln>
                <a:effectLst/>
              </c:spPr>
            </c:leaderLines>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押水!$AN$6:$AN$10</c:f>
              <c:numCache>
                <c:formatCode>General</c:formatCode>
                <c:ptCount val="5"/>
                <c:pt idx="0">
                  <c:v>0</c:v>
                </c:pt>
                <c:pt idx="1">
                  <c:v>3</c:v>
                </c:pt>
                <c:pt idx="2">
                  <c:v>3</c:v>
                </c:pt>
                <c:pt idx="3">
                  <c:v>0</c:v>
                </c:pt>
                <c:pt idx="4">
                  <c:v>1</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10.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押水!$AO$5</c:f>
              <c:strCache>
                <c:ptCount val="1"/>
                <c:pt idx="0">
                  <c:v>① 外部人材を生かした活動の整備•取組が進められていますか。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rgbClr val="00B0F0"/>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layout>
                <c:manualLayout>
                  <c:x val="-7.7964839859826135e-002"/>
                  <c:y val="8.1988988284893399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8664848054691697"/>
                      <c:h val="0.26145613064118878"/>
                    </c:manualLayout>
                  </c15:layout>
                </c:ext>
              </c:extLst>
            </c:dLbl>
            <c:dLbl>
              <c:idx val="2"/>
              <c:layout>
                <c:manualLayout>
                  <c:x val="-0.17426826100785742"/>
                  <c:y val="-4.91641989164684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1962031382168243"/>
                      <c:h val="0.26892531040732764"/>
                    </c:manualLayout>
                  </c15:layout>
                </c:ext>
              </c:extLst>
            </c:dLbl>
            <c:dLbl>
              <c:idx val="3"/>
              <c:layout>
                <c:manualLayout>
                  <c:x val="0.12877050626212738"/>
                  <c:y val="-0.15009801176141138"/>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3460927853236901"/>
                      <c:h val="0.24082889946793615"/>
                    </c:manualLayout>
                  </c15:layout>
                </c:ext>
              </c:extLst>
            </c:dLbl>
            <c:dLbl>
              <c:idx val="4"/>
              <c:layout/>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押水!$AO$6:$AO$10</c:f>
              <c:numCache>
                <c:formatCode>General</c:formatCode>
                <c:ptCount val="5"/>
                <c:pt idx="0">
                  <c:v>0</c:v>
                </c:pt>
                <c:pt idx="1">
                  <c:v>1</c:v>
                </c:pt>
                <c:pt idx="2">
                  <c:v>2</c:v>
                </c:pt>
                <c:pt idx="3">
                  <c:v>2</c:v>
                </c:pt>
                <c:pt idx="4">
                  <c:v>2</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11.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押水!$AP$5</c:f>
              <c:strCache>
                <c:ptCount val="1"/>
                <c:pt idx="0">
                  <c:v>② 自然、文化、伝統、施設等を生かした活動の整備•取組が進められていますか。</c:v>
                </c:pt>
              </c:strCache>
            </c:strRef>
          </c:tx>
          <c:spPr>
            <a:solidFill>
              <a:srgbClr val="FFA6A6"/>
            </a:solidFill>
            <a:ln/>
            <a:effectLst/>
          </c:spPr>
          <c:dPt>
            <c:idx val="0"/>
            <c:invertIfNegative val="0"/>
            <c:bubble3D val="0"/>
            <c:spPr>
              <a:solidFill>
                <a:srgbClr val="FFA6A6"/>
              </a:solidFill>
              <a:ln w="19050">
                <a:solidFill>
                  <a:schemeClr val="lt1"/>
                </a:solidFill>
              </a:ln>
              <a:effectLst/>
            </c:spPr>
          </c:dPt>
          <c:dPt>
            <c:idx val="1"/>
            <c:invertIfNegative val="0"/>
            <c:bubble3D val="0"/>
            <c:spPr>
              <a:solidFill>
                <a:srgbClr val="FFA6A6"/>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FFA6A6"/>
              </a:solidFill>
              <a:ln w="19050">
                <a:solidFill>
                  <a:schemeClr val="lt1"/>
                </a:solidFill>
              </a:ln>
              <a:effectLst/>
            </c:spPr>
          </c:dPt>
          <c:dLbls>
            <c:dLbl>
              <c:idx val="0"/>
              <c:delete val="1"/>
            </c:dLbl>
            <c:dLbl>
              <c:idx val="1"/>
              <c:delete val="1"/>
            </c:dLbl>
            <c:dLbl>
              <c:idx val="2"/>
              <c:layout>
                <c:manualLayout>
                  <c:x val="-0.17867834874847741"/>
                  <c:y val="-7.8588674735456443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3020419104870669"/>
                      <c:h val="0.26524253776594919"/>
                    </c:manualLayout>
                  </c15:layout>
                </c:ext>
              </c:extLst>
            </c:dLbl>
            <c:dLbl>
              <c:idx val="3"/>
              <c:layout>
                <c:manualLayout>
                  <c:x val="0.20410659992249602"/>
                  <c:y val="4.6631328042829705e-002"/>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0197565708237786"/>
                      <c:h val="0.20582469896387565"/>
                    </c:manualLayout>
                  </c15:layout>
                </c:ext>
              </c:extLst>
            </c:dLbl>
            <c:dLbl>
              <c:idx val="4"/>
              <c:delete val="1"/>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押水!$AP$6:$AP$10</c:f>
              <c:numCache>
                <c:formatCode>General</c:formatCode>
                <c:ptCount val="5"/>
                <c:pt idx="0">
                  <c:v>0</c:v>
                </c:pt>
                <c:pt idx="1">
                  <c:v>0</c:v>
                </c:pt>
                <c:pt idx="2">
                  <c:v>4</c:v>
                </c:pt>
                <c:pt idx="3">
                  <c:v>3</c:v>
                </c:pt>
                <c:pt idx="4">
                  <c:v>0</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12.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押水!$AQ$5</c:f>
              <c:strCache>
                <c:ptCount val="1"/>
                <c:pt idx="0">
                  <c:v>③ 地域と共に学ぶ場の整備・取組が進められていますか。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chemeClr val="accent5"/>
              </a:solidFill>
              <a:ln w="19050">
                <a:solidFill>
                  <a:schemeClr val="lt1"/>
                </a:solidFill>
              </a:ln>
              <a:effectLst/>
            </c:spPr>
          </c:dPt>
          <c:dLbls>
            <c:dLbl>
              <c:idx val="0"/>
              <c:delete val="1"/>
            </c:dLbl>
            <c:dLbl>
              <c:idx val="1"/>
              <c:delete val="1"/>
            </c:dLbl>
            <c:dLbl>
              <c:idx val="2"/>
              <c:layout>
                <c:manualLayout>
                  <c:x val="-0.1799259128594109"/>
                  <c:y val="-0.2670268148713279"/>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0833056698747019"/>
                      <c:h val="0.24152655799010841"/>
                    </c:manualLayout>
                  </c15:layout>
                </c:ext>
              </c:extLst>
            </c:dLbl>
            <c:dLbl>
              <c:idx val="3"/>
              <c:layout>
                <c:manualLayout>
                  <c:x val="0.1763979537837361"/>
                  <c:y val="0.19760758692617914"/>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1961545246075145"/>
                      <c:h val="0.27443293195183421"/>
                    </c:manualLayout>
                  </c15:layout>
                </c:ext>
              </c:extLst>
            </c:dLbl>
            <c:dLbl>
              <c:idx val="4"/>
              <c:delete val="1"/>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押水!$AQ$6:$AQ$10</c:f>
              <c:numCache>
                <c:formatCode>General</c:formatCode>
                <c:ptCount val="5"/>
                <c:pt idx="0">
                  <c:v>0</c:v>
                </c:pt>
                <c:pt idx="1">
                  <c:v>0</c:v>
                </c:pt>
                <c:pt idx="2">
                  <c:v>5</c:v>
                </c:pt>
                <c:pt idx="3">
                  <c:v>2</c:v>
                </c:pt>
                <c:pt idx="4">
                  <c:v>0</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13.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押水!$AR$5</c:f>
              <c:strCache>
                <c:ptCount val="1"/>
                <c:pt idx="0">
                  <c:v>④ 子どもたちによる地域行事への参加・参画等の取組が進められていますか。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chemeClr val="accent5"/>
              </a:solidFill>
              <a:ln w="19050">
                <a:solidFill>
                  <a:schemeClr val="lt1"/>
                </a:solidFill>
              </a:ln>
              <a:effectLst/>
            </c:spPr>
          </c:dPt>
          <c:dLbls>
            <c:dLbl>
              <c:idx val="0"/>
              <c:delete val="1"/>
            </c:dLbl>
            <c:dLbl>
              <c:idx val="1"/>
              <c:delete val="1"/>
            </c:dLbl>
            <c:dLbl>
              <c:idx val="2"/>
              <c:layout>
                <c:manualLayout>
                  <c:x val="-0.1912031524189437"/>
                  <c:y val="-0.18793557463599597"/>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0974369516211259"/>
                      <c:h val="0.22744902616660453"/>
                    </c:manualLayout>
                  </c15:layout>
                </c:ext>
              </c:extLst>
            </c:dLbl>
            <c:dLbl>
              <c:idx val="3"/>
              <c:layout>
                <c:manualLayout>
                  <c:x val="0.14583138300162649"/>
                  <c:y val="0.166272047133845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3725524783912508"/>
                      <c:h val="0.25203024362923548"/>
                    </c:manualLayout>
                  </c15:layout>
                </c:ext>
              </c:extLst>
            </c:dLbl>
            <c:dLbl>
              <c:idx val="4"/>
              <c:delete val="1"/>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押水!$AR$6:$AR$10</c:f>
              <c:numCache>
                <c:formatCode>General</c:formatCode>
                <c:ptCount val="5"/>
                <c:pt idx="0">
                  <c:v>0</c:v>
                </c:pt>
                <c:pt idx="1">
                  <c:v>0</c:v>
                </c:pt>
                <c:pt idx="2">
                  <c:v>5</c:v>
                </c:pt>
                <c:pt idx="3">
                  <c:v>2</c:v>
                </c:pt>
                <c:pt idx="4">
                  <c:v>0</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14.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押水!$AS$5</c:f>
              <c:strCache>
                <c:ptCount val="1"/>
                <c:pt idx="0">
                  <c:v>① 学校は、地域の行事や活動等を子どもに知らせる環境を整備していますか。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delete val="1"/>
            </c:dLbl>
            <c:dLbl>
              <c:idx val="2"/>
              <c:layout>
                <c:manualLayout>
                  <c:x val="-0.19278935167501671"/>
                  <c:y val="3.5687306098779098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0903560321849871"/>
                      <c:h val="0.25868269546676315"/>
                    </c:manualLayout>
                  </c15:layout>
                </c:ext>
              </c:extLst>
            </c:dLbl>
            <c:dLbl>
              <c:idx val="3"/>
              <c:layout>
                <c:manualLayout>
                  <c:x val="0.14102252476863394"/>
                  <c:y val="-0.19838881453175955"/>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0867877932615983"/>
                      <c:h val="0.22100252030243628"/>
                    </c:manualLayout>
                  </c15:layout>
                </c:ext>
              </c:extLst>
            </c:dLbl>
            <c:dLbl>
              <c:idx val="4"/>
              <c:layout/>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押水!$AS$6:$AS$10</c:f>
              <c:numCache>
                <c:formatCode>General</c:formatCode>
                <c:ptCount val="5"/>
                <c:pt idx="0">
                  <c:v>0</c:v>
                </c:pt>
                <c:pt idx="1">
                  <c:v>0</c:v>
                </c:pt>
                <c:pt idx="2">
                  <c:v>3</c:v>
                </c:pt>
                <c:pt idx="3">
                  <c:v>2</c:v>
                </c:pt>
                <c:pt idx="4">
                  <c:v>2</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15.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押水!$AT$5</c:f>
              <c:strCache>
                <c:ptCount val="1"/>
                <c:pt idx="0">
                  <c:v>② 学校は、学校関係者評価結果等を保護者や学校運営協議会委員へ発信していますか。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delete val="1"/>
            </c:dLbl>
            <c:dLbl>
              <c:idx val="2"/>
              <c:layout>
                <c:manualLayout>
                  <c:x val="-0.20619698512284659"/>
                  <c:y val="7.01735546848299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906916049852562"/>
                      <c:h val="0.20540001808090985"/>
                    </c:manualLayout>
                  </c15:layout>
                </c:ext>
              </c:extLst>
            </c:dLbl>
            <c:dLbl>
              <c:idx val="3"/>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1961545246075145"/>
                      <c:h val="0.23522822738728646"/>
                    </c:manualLayout>
                  </c15:layout>
                </c:ext>
              </c:extLst>
            </c:dLbl>
            <c:dLbl>
              <c:idx val="4"/>
              <c:layout>
                <c:manualLayout>
                  <c:x val="7.8061928182420484e-002"/>
                  <c:y val="8.5410249229907587e-002"/>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押水!$AT$6:$AT$10</c:f>
              <c:numCache>
                <c:formatCode>General</c:formatCode>
                <c:ptCount val="5"/>
                <c:pt idx="0">
                  <c:v>0</c:v>
                </c:pt>
                <c:pt idx="1">
                  <c:v>0</c:v>
                </c:pt>
                <c:pt idx="2">
                  <c:v>3</c:v>
                </c:pt>
                <c:pt idx="3">
                  <c:v>3</c:v>
                </c:pt>
                <c:pt idx="4">
                  <c:v>1</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16.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押水!$AU$5</c:f>
              <c:strCache>
                <c:ptCount val="1"/>
                <c:pt idx="0">
                  <c:v>① 学校の考えや方針を家庭・地域に浸透させることにつながっていますか。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delete val="1"/>
            </c:dLbl>
            <c:dLbl>
              <c:idx val="2"/>
              <c:layout>
                <c:manualLayout>
                  <c:x val="-0.19155567716674329"/>
                  <c:y val="-0.22190788878917439"/>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3161565247102975"/>
                      <c:h val="0.26408183155206971"/>
                    </c:manualLayout>
                  </c15:layout>
                </c:ext>
              </c:extLst>
            </c:dLbl>
            <c:dLbl>
              <c:idx val="3"/>
              <c:delete val="1"/>
            </c:dLbl>
            <c:dLbl>
              <c:idx val="4"/>
              <c:layout/>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押水!$AU$6:$AU$10</c:f>
              <c:numCache>
                <c:formatCode>General</c:formatCode>
                <c:ptCount val="5"/>
                <c:pt idx="0">
                  <c:v>0</c:v>
                </c:pt>
                <c:pt idx="1">
                  <c:v>0</c:v>
                </c:pt>
                <c:pt idx="2">
                  <c:v>5</c:v>
                </c:pt>
                <c:pt idx="3">
                  <c:v>0</c:v>
                </c:pt>
                <c:pt idx="4">
                  <c:v>2</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17.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押水!$AV$5</c:f>
              <c:strCache>
                <c:ptCount val="1"/>
                <c:pt idx="0">
                  <c:v>② 学校を支援・応援する声や行動の増加につながっていますか。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delete val="1"/>
            </c:dLbl>
            <c:dLbl>
              <c:idx val="2"/>
              <c:layout>
                <c:manualLayout>
                  <c:x val="-0.19914106697149714"/>
                  <c:y val="-6.866159372195535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1538731851497925"/>
                      <c:h val="0.24379857866408536"/>
                    </c:manualLayout>
                  </c15:layout>
                </c:ext>
              </c:extLst>
            </c:dLbl>
            <c:dLbl>
              <c:idx val="3"/>
              <c:layout>
                <c:manualLayout>
                  <c:x val="0.20414187951325277"/>
                  <c:y val="-6.1946520196596772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0550361615805257"/>
                      <c:h val="0.23942873144777374"/>
                    </c:manualLayout>
                  </c15:layout>
                </c:ext>
              </c:extLst>
            </c:dLbl>
            <c:dLbl>
              <c:idx val="4"/>
              <c:layout>
                <c:manualLayout>
                  <c:x val="8.5117846333769925e-002"/>
                  <c:y val="7.4208905068608236e-002"/>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押水!$AV$6:$AV$10</c:f>
              <c:numCache>
                <c:formatCode>General</c:formatCode>
                <c:ptCount val="5"/>
                <c:pt idx="0">
                  <c:v>0</c:v>
                </c:pt>
                <c:pt idx="1">
                  <c:v>0</c:v>
                </c:pt>
                <c:pt idx="2">
                  <c:v>4</c:v>
                </c:pt>
                <c:pt idx="3">
                  <c:v>2</c:v>
                </c:pt>
                <c:pt idx="4">
                  <c:v>1</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18.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押水!$AW$5</c:f>
              <c:strCache>
                <c:ptCount val="1"/>
                <c:pt idx="0">
                  <c:v>③ 学校の教育活動の活性化につながっていますか。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delete val="1"/>
            </c:dLbl>
            <c:dLbl>
              <c:idx val="2"/>
              <c:layout>
                <c:manualLayout>
                  <c:x val="-0.16934203563238659"/>
                  <c:y val="-0.24082889946793615"/>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0762553075644167"/>
                      <c:h val="0.28552579065393358"/>
                    </c:manualLayout>
                  </c15:layout>
                </c:ext>
              </c:extLst>
            </c:dLbl>
            <c:dLbl>
              <c:idx val="3"/>
              <c:delete val="1"/>
            </c:dLbl>
            <c:dLbl>
              <c:idx val="4"/>
              <c:layout/>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押水!$AW$6:$AW$10</c:f>
              <c:numCache>
                <c:formatCode>General</c:formatCode>
                <c:ptCount val="5"/>
                <c:pt idx="0">
                  <c:v>0</c:v>
                </c:pt>
                <c:pt idx="1">
                  <c:v>0</c:v>
                </c:pt>
                <c:pt idx="2">
                  <c:v>5</c:v>
                </c:pt>
                <c:pt idx="3">
                  <c:v>0</c:v>
                </c:pt>
                <c:pt idx="4">
                  <c:v>2</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19.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押水!$AX$5</c:f>
              <c:strCache>
                <c:ptCount val="1"/>
                <c:pt idx="0">
                  <c:v>① 町民性（地域や地域情報に関する関心）の育成につながっていますか。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delete val="1"/>
            </c:dLbl>
            <c:dLbl>
              <c:idx val="2"/>
              <c:layout>
                <c:manualLayout>
                  <c:x val="-0.13069921648751401"/>
                  <c:y val="-8.5240465076281594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3867240399853882"/>
                      <c:h val="0.26251849434530572"/>
                    </c:manualLayout>
                  </c15:layout>
                </c:ext>
              </c:extLst>
            </c:dLbl>
            <c:dLbl>
              <c:idx val="3"/>
              <c:layout>
                <c:manualLayout>
                  <c:x val="0.13053448579996468"/>
                  <c:y val="-0.14182643649521406"/>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12559534309402"/>
                      <c:h val="0.20582469896387565"/>
                    </c:manualLayout>
                  </c15:layout>
                </c:ext>
              </c:extLst>
            </c:dLbl>
            <c:dLbl>
              <c:idx val="4"/>
              <c:layout/>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押水!$AX$6:$AX$10</c:f>
              <c:numCache>
                <c:formatCode>General</c:formatCode>
                <c:ptCount val="5"/>
                <c:pt idx="0">
                  <c:v>0</c:v>
                </c:pt>
                <c:pt idx="1">
                  <c:v>0</c:v>
                </c:pt>
                <c:pt idx="2">
                  <c:v>4</c:v>
                </c:pt>
                <c:pt idx="3">
                  <c:v>1</c:v>
                </c:pt>
                <c:pt idx="4">
                  <c:v>2</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20.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押水!$AY$5</c:f>
              <c:strCache>
                <c:ptCount val="1"/>
                <c:pt idx="0">
                  <c:v>② 学力や体力等の生きる力の育成につながっていますか。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delete val="1"/>
            </c:dLbl>
            <c:dLbl>
              <c:idx val="2"/>
              <c:layout>
                <c:manualLayout>
                  <c:x val="-0.26423218970974899"/>
                  <c:y val="-0.2172990207643816"/>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9210223303141969"/>
                      <c:h val="0.24440318665011454"/>
                    </c:manualLayout>
                  </c15:layout>
                </c:ext>
              </c:extLst>
            </c:dLbl>
            <c:dLbl>
              <c:idx val="3"/>
              <c:delete val="1"/>
            </c:dLbl>
            <c:dLbl>
              <c:idx val="4"/>
              <c:layout>
                <c:manualLayout>
                  <c:x val="9.217376448511938e-002"/>
                  <c:y val="9.1010921310557269e-002"/>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押水!$AY$6:$AY$10</c:f>
              <c:numCache>
                <c:formatCode>General</c:formatCode>
                <c:ptCount val="5"/>
                <c:pt idx="0">
                  <c:v>0</c:v>
                </c:pt>
                <c:pt idx="1">
                  <c:v>0</c:v>
                </c:pt>
                <c:pt idx="2">
                  <c:v>6</c:v>
                </c:pt>
                <c:pt idx="3">
                  <c:v>0</c:v>
                </c:pt>
                <c:pt idx="4">
                  <c:v>1</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21.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押水!$AZ$5</c:f>
              <c:strCache>
                <c:ptCount val="1"/>
                <c:pt idx="0">
                  <c:v>③ 基本的生活習慣や学習習憫の形成につながっていますか。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rgbClr val="00B0F0"/>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layout>
                <c:manualLayout>
                  <c:x val="-4.2331906828699736e-002"/>
                  <c:y val="0.12644030869259407"/>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40146396412037832"/>
                      <c:h val="0.25752243025068522"/>
                    </c:manualLayout>
                  </c15:layout>
                </c:ext>
              </c:extLst>
            </c:dLbl>
            <c:dLbl>
              <c:idx val="2"/>
              <c:layout>
                <c:manualLayout>
                  <c:x val="-0.24200910324558353"/>
                  <c:y val="-0.18730146830218061"/>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0833056698747019"/>
                      <c:h val="0.24727981531012067"/>
                    </c:manualLayout>
                  </c15:layout>
                </c:ext>
              </c:extLst>
            </c:dLbl>
            <c:dLbl>
              <c:idx val="3"/>
              <c:layout>
                <c:manualLayout>
                  <c:x val="0.13397077349808253"/>
                  <c:y val="5.4248021573612457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443111659904745"/>
                      <c:h val="0.22962755530663681"/>
                    </c:manualLayout>
                  </c15:layout>
                </c:ext>
              </c:extLst>
            </c:dLbl>
            <c:dLbl>
              <c:idx val="4"/>
              <c:layout>
                <c:manualLayout>
                  <c:x val="8.8645805409444653e-002"/>
                  <c:y val="7.9809577149257904e-002"/>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押水!$AZ$6:$AZ$10</c:f>
              <c:numCache>
                <c:formatCode>General</c:formatCode>
                <c:ptCount val="5"/>
                <c:pt idx="0">
                  <c:v>0</c:v>
                </c:pt>
                <c:pt idx="1">
                  <c:v>1</c:v>
                </c:pt>
                <c:pt idx="2">
                  <c:v>4</c:v>
                </c:pt>
                <c:pt idx="3">
                  <c:v>1</c:v>
                </c:pt>
                <c:pt idx="4">
                  <c:v>1</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22.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押水!$BA$5</c:f>
              <c:strCache>
                <c:ptCount val="1"/>
                <c:pt idx="0">
                  <c:v>① 基本的生活習慣や学習習慣への保護者の関心につながっていますか。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rgbClr val="00B0F0"/>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layout>
                <c:manualLayout>
                  <c:x val="-7.9375329009963136e-002"/>
                  <c:y val="6.6674457627828726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40358129514988961"/>
                      <c:h val="0.23607847114882133"/>
                    </c:manualLayout>
                  </c15:layout>
                </c:ext>
              </c:extLst>
            </c:dLbl>
            <c:dLbl>
              <c:idx val="2"/>
              <c:layout>
                <c:manualLayout>
                  <c:x val="-0.20919463916895736"/>
                  <c:y val="-0.17283674040884905"/>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4572665539756903"/>
                      <c:h val="0.23143696928670809"/>
                    </c:manualLayout>
                  </c15:layout>
                </c:ext>
              </c:extLst>
            </c:dLbl>
            <c:dLbl>
              <c:idx val="3"/>
              <c:layout>
                <c:manualLayout>
                  <c:x val="0.10583877227024166"/>
                  <c:y val="-0.12949062548923193"/>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3019932968777562"/>
                      <c:h val="0.21702604312517501"/>
                    </c:manualLayout>
                  </c15:layout>
                </c:ext>
              </c:extLst>
            </c:dLbl>
            <c:dLbl>
              <c:idx val="4"/>
              <c:layout/>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押水!$BA$6:$BA$10</c:f>
              <c:numCache>
                <c:formatCode>General</c:formatCode>
                <c:ptCount val="5"/>
                <c:pt idx="0">
                  <c:v>0</c:v>
                </c:pt>
                <c:pt idx="1">
                  <c:v>1</c:v>
                </c:pt>
                <c:pt idx="2">
                  <c:v>3</c:v>
                </c:pt>
                <c:pt idx="3">
                  <c:v>1</c:v>
                </c:pt>
                <c:pt idx="4">
                  <c:v>2</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23.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押水!$BB$5</c:f>
              <c:strCache>
                <c:ptCount val="1"/>
                <c:pt idx="0">
                  <c:v>② 子どもの学びや体験交流の場づくりへの保護者の関心につながっていますか。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delete val="1"/>
            </c:dLbl>
            <c:dLbl>
              <c:idx val="2"/>
              <c:layout>
                <c:manualLayout>
                  <c:x val="-0.20460926464276635"/>
                  <c:y val="6.1109947366912325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7163888888888887"/>
                      <c:h val="0.2100420321637427"/>
                    </c:manualLayout>
                  </c15:layout>
                </c:ext>
              </c:extLst>
            </c:dLbl>
            <c:dLbl>
              <c:idx val="3"/>
              <c:layout>
                <c:manualLayout>
                  <c:x val="1.2232156374702589e-002"/>
                  <c:y val="-5.7391012905800766e-002"/>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1926265655318394"/>
                      <c:h val="0.20420050406048726"/>
                    </c:manualLayout>
                  </c15:layout>
                </c:ext>
              </c:extLst>
            </c:dLbl>
            <c:dLbl>
              <c:idx val="4"/>
              <c:layout/>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押水!$BB$6:$BB$10</c:f>
              <c:numCache>
                <c:formatCode>General</c:formatCode>
                <c:ptCount val="5"/>
                <c:pt idx="0">
                  <c:v>0</c:v>
                </c:pt>
                <c:pt idx="1">
                  <c:v>0</c:v>
                </c:pt>
                <c:pt idx="2">
                  <c:v>3</c:v>
                </c:pt>
                <c:pt idx="3">
                  <c:v>1</c:v>
                </c:pt>
                <c:pt idx="4">
                  <c:v>3</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hart24.xml><?xml version="1.0" encoding="utf-8"?>
<c:chartSpace xmlns:a="http://schemas.openxmlformats.org/drawingml/2006/main" xmlns:r="http://schemas.openxmlformats.org/officeDocument/2006/relationships" xmlns:c="http://schemas.openxmlformats.org/drawingml/20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押水!$BC$5</c:f>
              <c:strCache>
                <c:ptCount val="1"/>
                <c:pt idx="0">
                  <c:v>③ 子どもを誘っての保護者自身の地域行事への参加につながっていますか。</c:v>
                </c:pt>
              </c:strCache>
            </c:strRef>
          </c:tx>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rgbClr val="FFC000"/>
              </a:solidFill>
              <a:ln w="19050">
                <a:solidFill>
                  <a:schemeClr val="lt1"/>
                </a:solidFill>
              </a:ln>
              <a:effectLst/>
            </c:spPr>
          </c:dPt>
          <c:dPt>
            <c:idx val="3"/>
            <c:invertIfNegative val="0"/>
            <c:bubble3D val="0"/>
            <c:spPr>
              <a:solidFill>
                <a:srgbClr val="FFA6A6"/>
              </a:solidFill>
              <a:ln w="19050">
                <a:solidFill>
                  <a:schemeClr val="lt1"/>
                </a:solidFill>
              </a:ln>
              <a:effectLst/>
            </c:spPr>
          </c:dPt>
          <c:dPt>
            <c:idx val="4"/>
            <c:invertIfNegative val="0"/>
            <c:bubble3D val="0"/>
            <c:spPr>
              <a:solidFill>
                <a:srgbClr val="92D050"/>
              </a:solidFill>
              <a:ln w="19050">
                <a:solidFill>
                  <a:schemeClr val="lt1"/>
                </a:solidFill>
              </a:ln>
              <a:effectLst/>
            </c:spPr>
          </c:dPt>
          <c:dLbls>
            <c:dLbl>
              <c:idx val="0"/>
              <c:delete val="1"/>
            </c:dLbl>
            <c:dLbl>
              <c:idx val="1"/>
              <c:delete val="1"/>
            </c:dLbl>
            <c:dLbl>
              <c:idx val="2"/>
              <c:layout>
                <c:manualLayout>
                  <c:x val="-0.17779858131598436"/>
                  <c:y val="-9.8992099524383925e-002"/>
                </c:manualLayout>
              </c:layout>
              <c:spPr>
                <a:noFill/>
                <a:ln>
                  <a:noFill/>
                </a:ln>
                <a:effectLst/>
              </c:spPr>
              <c:txPr>
                <a:bodyPr rot="0" spcFirstLastPara="1" vertOverflow="ellipsis" horzOverflow="overflow" wrap="square" lIns="38100" tIns="19050" rIns="38100" bIns="19050" anchor="ctr" anchorCtr="1">
                  <a:no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32385247575222614"/>
                      <c:h val="0.30636470077196665"/>
                    </c:manualLayout>
                  </c15:layout>
                </c:ext>
              </c:extLst>
            </c:dLbl>
            <c:dLbl>
              <c:idx val="3"/>
              <c:layout>
                <c:manualLayout>
                  <c:x val="0.11289469042159107"/>
                  <c:y val="-0.12502442025326505"/>
                </c:manualLayout>
              </c:layout>
              <c:spPr>
                <a:noFill/>
                <a:ln>
                  <a:noFill/>
                </a:ln>
                <a:effectLst/>
              </c:spPr>
              <c:txPr>
                <a:bodyPr rot="0" spcFirstLastPara="1" vertOverflow="ellipsis" horzOverflow="overflow" wrap="square"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extLst>
                <c:ext xmlns:c15="http://schemas.microsoft.com/office/drawing/2012/chart" uri="{CE6537A1-D6FC-4f65-9D91-7224C49458BB}">
                  <c15:layout>
                    <c:manualLayout>
                      <c:w val="0.212559534309402"/>
                      <c:h val="0.20582469896387565"/>
                    </c:manualLayout>
                  </c15:layout>
                </c:ext>
              </c:extLst>
            </c:dLbl>
            <c:dLbl>
              <c:idx val="4"/>
              <c:layout/>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dLbl>
            <c:spPr>
              <a:noFill/>
              <a:ln>
                <a:noFill/>
              </a:ln>
              <a:effectLst/>
            </c:spPr>
            <c:txPr>
              <a:bodyPr rot="0" spcFirstLastPara="1" vertOverflow="ellipsis" horzOverflow="overflow" wrap="square" lIns="38100" tIns="19050" rIns="38100" bIns="19050" anchor="ctr" anchorCtr="1">
                <a:spAutoFit/>
              </a:bodyPr>
              <a:lstStyle/>
              <a:p>
                <a:pPr algn="ctr" rtl="0">
                  <a:defRPr lang="ja-JP" altLang="en-US" sz="1000" b="0" i="0" u="none" strike="noStrike" kern="1200" baseline="0">
                    <a:solidFill>
                      <a:schemeClr val="tx1">
                        <a:lumMod val="75000"/>
                        <a:lumOff val="25000"/>
                      </a:schemeClr>
                    </a:solidFill>
                    <a:latin typeface="+mn-ea"/>
                    <a:ea typeface="+mn-ea"/>
                    <a:cs typeface="+mn-cs"/>
                  </a:defRPr>
                </a:pPr>
                <a:endParaRPr lang="ja-JP" altLang="en-US"/>
              </a:p>
            </c:txPr>
            <c:showLegendKey val="0"/>
            <c:showVal val="0"/>
            <c:showCatName val="1"/>
            <c:showSerName val="0"/>
            <c:showPercent val="1"/>
            <c:showBubbleSize val="0"/>
            <c:separator xml:space="preserve">, </c:separator>
            <c:showLeaderLines val="0"/>
          </c:dLbls>
          <c:cat>
            <c:strRef>
              <c:f>押水!$AE$6:$AE$10</c:f>
              <c:strCache>
                <c:ptCount val="5"/>
                <c:pt idx="0">
                  <c:v>1.思わない</c:v>
                </c:pt>
                <c:pt idx="1">
                  <c:v>2.あまりそう思わない</c:v>
                </c:pt>
                <c:pt idx="2">
                  <c:v>3.概ねそう思う</c:v>
                </c:pt>
                <c:pt idx="3">
                  <c:v>4.そう思う</c:v>
                </c:pt>
                <c:pt idx="4">
                  <c:v>無回答</c:v>
                </c:pt>
              </c:strCache>
            </c:strRef>
          </c:cat>
          <c:val>
            <c:numRef>
              <c:f>押水!$BC$6:$BC$10</c:f>
              <c:numCache>
                <c:formatCode>General</c:formatCode>
                <c:ptCount val="5"/>
                <c:pt idx="0">
                  <c:v>0</c:v>
                </c:pt>
                <c:pt idx="1">
                  <c:v>0</c:v>
                </c:pt>
                <c:pt idx="2">
                  <c:v>4</c:v>
                </c:pt>
                <c:pt idx="3">
                  <c:v>1</c:v>
                </c:pt>
                <c:pt idx="4">
                  <c:v>2</c:v>
                </c:pt>
              </c:numCache>
            </c:numRef>
          </c:val>
        </c:ser>
        <c:dLbls>
          <c:txPr>
            <a:bodyPr rot="0" spcFirstLastPara="1" vertOverflow="ellipsis" horzOverflow="overflow" wrap="square" anchor="ctr" anchorCtr="1">
              <a:spAutoFit/>
            </a:bodyPr>
            <a:lstStyle/>
            <a:p>
              <a:pPr algn="ctr" rtl="0">
                <a:defRPr lang="ja-JP" altLang="en-US" sz="1000">
                  <a:solidFill>
                    <a:schemeClr val="tx1"/>
                  </a:solidFill>
                </a:defRPr>
              </a:pPr>
              <a:endParaRPr lang="ja-JP" altLang="en-US"/>
            </a:p>
          </c:txP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vertOverflow="overflow" horzOverflow="overflow" anchor="ctr" anchorCtr="1"/>
    <a:lstStyle/>
    <a:p>
      <a:pPr algn="ctr" rtl="0">
        <a:defRPr lang="ja-JP" altLang="en-US" sz="1000"/>
      </a:pPr>
      <a:endParaRPr lang="ja-JP" altLang="en-US"/>
    </a:p>
  </c:txPr>
  <c:extLst>
    <c:ext xmlns:c14="http://schemas.microsoft.com/office/drawing/2007/8/2/chart" uri="{781A3756-C4B2-4CAC-9D66-4F8BD8637D16}"/>
  </c:extLst>
</c:chartSpace>
</file>

<file path=word/charts/colors1.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a="http://schemas.openxmlformats.org/drawingml/2006/main" xmlns:cs="http://schemas.microsoft.com/office/drawing/2012/chartStyle"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a="http://schemas.openxmlformats.org/drawingml/2006/main" xmlns:cs="http://schemas.microsoft.com/office/drawing/2012/chartStyle"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vertOverflow="clip" horzOverflow="clip"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テーマ">
  <a:themeElements>
    <a:clrScheme name="ユーザー定義 1">
      <a:dk1>
        <a:sysClr val="windowText" lastClr="000000"/>
      </a:dk1>
      <a:lt1>
        <a:sysClr val="window" lastClr="FFFFFF"/>
      </a:lt1>
      <a:dk2>
        <a:srgbClr val="0E2841"/>
      </a:dk2>
      <a:lt2>
        <a:srgbClr val="E8E8E8"/>
      </a:lt2>
      <a:accent1>
        <a:srgbClr val="E97132"/>
      </a:accent1>
      <a:accent2>
        <a:srgbClr val="FAE2D6"/>
      </a:accent2>
      <a:accent3>
        <a:srgbClr val="CAEDFB"/>
      </a:accent3>
      <a:accent4>
        <a:srgbClr val="60CBF3"/>
      </a:accent4>
      <a:accent5>
        <a:srgbClr val="E8E8E8"/>
      </a:accent5>
      <a:accent6>
        <a:srgbClr val="7F7F7F"/>
      </a:accent6>
      <a:hlink>
        <a:srgbClr val="DBE9F7"/>
      </a:hlink>
      <a:folHlink>
        <a:srgbClr val="96607D"/>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148</TotalTime>
  <Pages>8</Pages>
  <Words>233</Words>
  <Characters>1966</Characters>
  <Application>Microsoft Office Word</Application>
  <Lines>370</Lines>
  <Paragraphs>302</Paragraphs>
  <CharactersWithSpaces>1982</CharactersWithSpaces>
  <AppVersion>1.20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山﨑 映人</dc:creator>
  <cp:lastModifiedBy>西住 真海</cp:lastModifiedBy>
  <cp:lastPrinted>2026-02-19T09:04:14Z</cp:lastPrinted>
  <dcterms:created xsi:type="dcterms:W3CDTF">2026-02-17T02:38:00Z</dcterms:created>
  <dcterms:modified xsi:type="dcterms:W3CDTF">2026-02-19T07:50:37Z</dcterms:modified>
  <cp:revision>14</cp:revision>
</cp:coreProperties>
</file>